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1B798" w14:textId="3E1A51F5" w:rsidR="00C9427C" w:rsidRPr="00144B97" w:rsidRDefault="00C9427C">
      <w:pPr>
        <w:rPr>
          <w:b/>
          <w:bCs/>
        </w:rPr>
      </w:pPr>
      <w:r w:rsidRPr="00D26CCF">
        <w:rPr>
          <w:b/>
          <w:bCs/>
        </w:rPr>
        <w:t xml:space="preserve">Temple Guiting Parish Council </w:t>
      </w:r>
      <w:r w:rsidR="00324F1B">
        <w:rPr>
          <w:b/>
          <w:bCs/>
        </w:rPr>
        <w:t xml:space="preserve"> </w:t>
      </w:r>
    </w:p>
    <w:p w14:paraId="63076694" w14:textId="4C428333" w:rsidR="00DF5EB0" w:rsidRPr="00D75BAB" w:rsidRDefault="00C9427C">
      <w:pPr>
        <w:rPr>
          <w:b/>
          <w:bCs/>
        </w:rPr>
      </w:pPr>
      <w:r w:rsidRPr="00D26CCF">
        <w:rPr>
          <w:b/>
          <w:bCs/>
        </w:rPr>
        <w:t xml:space="preserve">Report by the Quarry Working Party </w:t>
      </w:r>
      <w:r w:rsidR="00885E7E">
        <w:rPr>
          <w:b/>
          <w:bCs/>
        </w:rPr>
        <w:tab/>
      </w:r>
      <w:r w:rsidR="00885E7E">
        <w:rPr>
          <w:b/>
          <w:bCs/>
        </w:rPr>
        <w:tab/>
      </w:r>
      <w:r w:rsidR="00885E7E">
        <w:rPr>
          <w:b/>
          <w:bCs/>
        </w:rPr>
        <w:tab/>
      </w:r>
      <w:r w:rsidR="00885E7E">
        <w:rPr>
          <w:b/>
          <w:bCs/>
        </w:rPr>
        <w:tab/>
      </w:r>
      <w:r w:rsidR="00885E7E">
        <w:rPr>
          <w:b/>
          <w:bCs/>
        </w:rPr>
        <w:tab/>
      </w:r>
      <w:r w:rsidR="00324F1B">
        <w:rPr>
          <w:b/>
          <w:bCs/>
        </w:rPr>
        <w:t xml:space="preserve"> 1 December 2021 </w:t>
      </w:r>
    </w:p>
    <w:p w14:paraId="7D7D1086" w14:textId="41EFF285" w:rsidR="00DF5EB0" w:rsidRDefault="00DF5EB0"/>
    <w:p w14:paraId="5E201AE4" w14:textId="7BB609BF" w:rsidR="00DF5EB0" w:rsidRDefault="00DF5EB0">
      <w:r>
        <w:t xml:space="preserve">Since the last TGPC meeting, the working party has </w:t>
      </w:r>
    </w:p>
    <w:p w14:paraId="01381311" w14:textId="730A6844" w:rsidR="005663A4" w:rsidRDefault="00144B97" w:rsidP="00D75BAB">
      <w:pPr>
        <w:pStyle w:val="ListParagraph"/>
        <w:numPr>
          <w:ilvl w:val="0"/>
          <w:numId w:val="3"/>
        </w:numPr>
      </w:pPr>
      <w:r>
        <w:t>Held m</w:t>
      </w:r>
      <w:r w:rsidR="00DF5EB0">
        <w:t>eeting</w:t>
      </w:r>
      <w:r w:rsidR="005663A4">
        <w:t>s</w:t>
      </w:r>
      <w:r w:rsidR="00DF5EB0">
        <w:t xml:space="preserve"> </w:t>
      </w:r>
      <w:r>
        <w:t xml:space="preserve">with </w:t>
      </w:r>
    </w:p>
    <w:p w14:paraId="0B8F05F8" w14:textId="77777777" w:rsidR="005663A4" w:rsidRDefault="00DF5EB0" w:rsidP="005663A4">
      <w:pPr>
        <w:pStyle w:val="ListParagraph"/>
        <w:numPr>
          <w:ilvl w:val="1"/>
          <w:numId w:val="3"/>
        </w:numPr>
      </w:pPr>
      <w:r>
        <w:t xml:space="preserve">other local PCs </w:t>
      </w:r>
      <w:r w:rsidR="005663A4">
        <w:t>1 Nov 2021</w:t>
      </w:r>
    </w:p>
    <w:p w14:paraId="48A06DDD" w14:textId="4B58507F" w:rsidR="00DF5EB0" w:rsidRDefault="00DF5EB0" w:rsidP="005663A4">
      <w:pPr>
        <w:pStyle w:val="ListParagraph"/>
        <w:numPr>
          <w:ilvl w:val="1"/>
          <w:numId w:val="3"/>
        </w:numPr>
      </w:pPr>
      <w:r>
        <w:t>CCB</w:t>
      </w:r>
      <w:r w:rsidR="00324F1B">
        <w:t>,</w:t>
      </w:r>
      <w:r w:rsidR="005663A4">
        <w:t xml:space="preserve"> John Mills 10 Nov </w:t>
      </w:r>
      <w:r w:rsidR="00144B97">
        <w:t>2021</w:t>
      </w:r>
    </w:p>
    <w:p w14:paraId="22C52655" w14:textId="0E71DBFE" w:rsidR="00144B97" w:rsidRDefault="00A37C8E" w:rsidP="00144B97">
      <w:pPr>
        <w:pStyle w:val="ListParagraph"/>
        <w:numPr>
          <w:ilvl w:val="0"/>
          <w:numId w:val="3"/>
        </w:numPr>
      </w:pPr>
      <w:r>
        <w:t>Reviewed /a</w:t>
      </w:r>
      <w:r w:rsidR="00144B97">
        <w:t>pplications</w:t>
      </w:r>
      <w:r>
        <w:t xml:space="preserve"> and</w:t>
      </w:r>
      <w:r w:rsidR="00144B97">
        <w:t xml:space="preserve"> supported preparation of comments </w:t>
      </w:r>
    </w:p>
    <w:p w14:paraId="1C1DE2F5" w14:textId="02DE154A" w:rsidR="005663A4" w:rsidRDefault="005663A4" w:rsidP="005663A4">
      <w:pPr>
        <w:pStyle w:val="ListParagraph"/>
        <w:numPr>
          <w:ilvl w:val="1"/>
          <w:numId w:val="3"/>
        </w:numPr>
      </w:pPr>
      <w:r>
        <w:t xml:space="preserve">Oathill:  increase in production and </w:t>
      </w:r>
      <w:r w:rsidR="00144B97">
        <w:t xml:space="preserve">changes to </w:t>
      </w:r>
      <w:proofErr w:type="gramStart"/>
      <w:r w:rsidR="00144B97">
        <w:t xml:space="preserve">reinstatement </w:t>
      </w:r>
      <w:r w:rsidR="00A37C8E">
        <w:t xml:space="preserve"> </w:t>
      </w:r>
      <w:r w:rsidR="00324F1B">
        <w:t>(</w:t>
      </w:r>
      <w:proofErr w:type="gramEnd"/>
      <w:r w:rsidR="00324F1B">
        <w:rPr>
          <w:b/>
          <w:bCs/>
        </w:rPr>
        <w:t>s</w:t>
      </w:r>
      <w:r w:rsidR="00144B97" w:rsidRPr="00144B97">
        <w:rPr>
          <w:b/>
          <w:bCs/>
        </w:rPr>
        <w:t>ubmitted</w:t>
      </w:r>
      <w:r w:rsidR="00324F1B">
        <w:rPr>
          <w:b/>
          <w:bCs/>
        </w:rPr>
        <w:t>)</w:t>
      </w:r>
      <w:r w:rsidR="00144B97" w:rsidRPr="00144B97">
        <w:rPr>
          <w:b/>
          <w:bCs/>
        </w:rPr>
        <w:t xml:space="preserve"> </w:t>
      </w:r>
    </w:p>
    <w:p w14:paraId="606F03BF" w14:textId="1CE3636B" w:rsidR="005663A4" w:rsidRDefault="005663A4" w:rsidP="005663A4">
      <w:pPr>
        <w:pStyle w:val="ListParagraph"/>
        <w:numPr>
          <w:ilvl w:val="1"/>
          <w:numId w:val="3"/>
        </w:numPr>
      </w:pPr>
      <w:r>
        <w:t>Oathill change to reinstatement plans</w:t>
      </w:r>
      <w:proofErr w:type="gramStart"/>
      <w:r>
        <w:t xml:space="preserve">: </w:t>
      </w:r>
      <w:r w:rsidR="00144B97">
        <w:t xml:space="preserve"> </w:t>
      </w:r>
      <w:r w:rsidR="00324F1B">
        <w:t>(</w:t>
      </w:r>
      <w:proofErr w:type="gramEnd"/>
      <w:r w:rsidRPr="00144B97">
        <w:rPr>
          <w:b/>
          <w:bCs/>
        </w:rPr>
        <w:t>for comment</w:t>
      </w:r>
      <w:r w:rsidR="00324F1B">
        <w:rPr>
          <w:b/>
          <w:bCs/>
        </w:rPr>
        <w:t>)</w:t>
      </w:r>
    </w:p>
    <w:p w14:paraId="4232397E" w14:textId="77DF95AC" w:rsidR="005663A4" w:rsidRDefault="005663A4" w:rsidP="005663A4">
      <w:pPr>
        <w:pStyle w:val="ListParagraph"/>
        <w:numPr>
          <w:ilvl w:val="1"/>
          <w:numId w:val="3"/>
        </w:numPr>
      </w:pPr>
      <w:r>
        <w:t>Naunton Quarry approval 21 November 2021</w:t>
      </w:r>
      <w:r w:rsidR="00144B97">
        <w:t xml:space="preserve"> </w:t>
      </w:r>
    </w:p>
    <w:p w14:paraId="7E679654" w14:textId="272302B4" w:rsidR="005663A4" w:rsidRDefault="005663A4" w:rsidP="005663A4">
      <w:pPr>
        <w:pStyle w:val="ListParagraph"/>
        <w:numPr>
          <w:ilvl w:val="1"/>
          <w:numId w:val="3"/>
        </w:numPr>
      </w:pPr>
      <w:r>
        <w:t xml:space="preserve">Naunton Quarry proposed reinstatement plans: </w:t>
      </w:r>
      <w:r w:rsidR="00324F1B">
        <w:t>(</w:t>
      </w:r>
      <w:r w:rsidRPr="00144B97">
        <w:rPr>
          <w:b/>
          <w:bCs/>
        </w:rPr>
        <w:t>for comment</w:t>
      </w:r>
      <w:r w:rsidR="00324F1B">
        <w:rPr>
          <w:b/>
          <w:bCs/>
        </w:rPr>
        <w:t>)</w:t>
      </w:r>
    </w:p>
    <w:p w14:paraId="3E282CF7" w14:textId="2651CF62" w:rsidR="00DF5EB0" w:rsidRDefault="00DF5EB0"/>
    <w:p w14:paraId="7E4703EF" w14:textId="37B653C9" w:rsidR="00DB2F84" w:rsidRPr="00D26CCF" w:rsidRDefault="00DB2F84">
      <w:pPr>
        <w:rPr>
          <w:b/>
          <w:bCs/>
        </w:rPr>
      </w:pPr>
      <w:r w:rsidRPr="00DB2F84">
        <w:rPr>
          <w:b/>
          <w:bCs/>
        </w:rPr>
        <w:t>Meetings</w:t>
      </w:r>
      <w:r w:rsidR="00A27A4E">
        <w:rPr>
          <w:b/>
          <w:bCs/>
        </w:rPr>
        <w:t xml:space="preserve"> with other local PCs</w:t>
      </w:r>
      <w:r w:rsidRPr="00DB2F84">
        <w:rPr>
          <w:b/>
          <w:bCs/>
        </w:rPr>
        <w:t xml:space="preserve"> </w:t>
      </w:r>
    </w:p>
    <w:p w14:paraId="030A9C29" w14:textId="20FFF6DB" w:rsidR="005663A4" w:rsidRDefault="00A27A4E" w:rsidP="00576E4B">
      <w:r>
        <w:t xml:space="preserve">The quarry working party </w:t>
      </w:r>
      <w:r w:rsidR="00324F1B">
        <w:t xml:space="preserve">held </w:t>
      </w:r>
      <w:r>
        <w:t>a meeting with</w:t>
      </w:r>
      <w:r w:rsidR="00DB2F84">
        <w:t xml:space="preserve"> other local PCs on 1 November 2021 to share the work that the TGPC Quarry Working Party has been doing and to understand the concerns of other PCs and residents in the area. </w:t>
      </w:r>
      <w:r>
        <w:t xml:space="preserve">PCs were concerned primarily about </w:t>
      </w:r>
      <w:r w:rsidR="00DB2F84">
        <w:t xml:space="preserve">the increasing numbers of HGVs and the effects quarry operations have on the local equine businesses.  </w:t>
      </w:r>
      <w:r w:rsidR="00576E4B">
        <w:t>A follow up discussion is planned in January 2022</w:t>
      </w:r>
      <w:r w:rsidR="00324F1B">
        <w:t xml:space="preserve"> </w:t>
      </w:r>
      <w:r w:rsidR="00576E4B">
        <w:t xml:space="preserve">(Date to be confirmed)  </w:t>
      </w:r>
    </w:p>
    <w:p w14:paraId="0C40B56D" w14:textId="3664DF03" w:rsidR="00DB2F84" w:rsidRDefault="005663A4">
      <w:r>
        <w:t xml:space="preserve">Attendees included Mark MacKenzie-Charrington, Richard Keeling and Rex Bovill as well as representatives from Toddington, Stanway, Stanton, </w:t>
      </w:r>
      <w:proofErr w:type="spellStart"/>
      <w:r>
        <w:t>Cutsdean</w:t>
      </w:r>
      <w:proofErr w:type="spellEnd"/>
      <w:r>
        <w:t>, Naunton and Upper Slaughter (represented by Richard Keeling).</w:t>
      </w:r>
    </w:p>
    <w:p w14:paraId="3422F632" w14:textId="77777777" w:rsidR="00822199" w:rsidRDefault="00822199" w:rsidP="00A27A4E">
      <w:pPr>
        <w:rPr>
          <w:b/>
          <w:bCs/>
        </w:rPr>
      </w:pPr>
    </w:p>
    <w:p w14:paraId="74AE88AF" w14:textId="4A68DE3F" w:rsidR="00A27A4E" w:rsidRPr="00A27A4E" w:rsidRDefault="00A27A4E" w:rsidP="00A27A4E">
      <w:pPr>
        <w:rPr>
          <w:b/>
          <w:bCs/>
        </w:rPr>
      </w:pPr>
      <w:r w:rsidRPr="00A27A4E">
        <w:rPr>
          <w:b/>
          <w:bCs/>
        </w:rPr>
        <w:t>Meeting with CCB</w:t>
      </w:r>
    </w:p>
    <w:p w14:paraId="7B54F42A" w14:textId="061ADCEB" w:rsidR="00083729" w:rsidRDefault="00A27A4E" w:rsidP="00B20FE3">
      <w:r>
        <w:t xml:space="preserve">The working party met </w:t>
      </w:r>
      <w:r w:rsidR="005663A4">
        <w:t xml:space="preserve">with </w:t>
      </w:r>
      <w:r w:rsidR="00DB2F84">
        <w:t>John Mills</w:t>
      </w:r>
      <w:r w:rsidR="00324F1B">
        <w:t>,</w:t>
      </w:r>
      <w:r w:rsidR="00DB2F84">
        <w:t xml:space="preserve"> </w:t>
      </w:r>
      <w:r w:rsidR="00D26CCF">
        <w:t xml:space="preserve">CCB on </w:t>
      </w:r>
      <w:r w:rsidR="00576E4B">
        <w:t xml:space="preserve">10 </w:t>
      </w:r>
      <w:r w:rsidR="00D26CCF">
        <w:t>November</w:t>
      </w:r>
      <w:r w:rsidR="00576E4B">
        <w:t xml:space="preserve"> 2021</w:t>
      </w:r>
      <w:r>
        <w:t xml:space="preserve"> to </w:t>
      </w:r>
      <w:r w:rsidR="00D26CCF">
        <w:t>share the slides used at the meeting on 1 Nov 2021</w:t>
      </w:r>
      <w:r w:rsidR="00576E4B">
        <w:t xml:space="preserve"> and</w:t>
      </w:r>
      <w:r>
        <w:t xml:space="preserve"> TGPCs</w:t>
      </w:r>
      <w:r w:rsidR="00576E4B">
        <w:t xml:space="preserve"> observations from the Oathill site visit. </w:t>
      </w:r>
      <w:r w:rsidR="00D26CCF">
        <w:t xml:space="preserve"> John Mills now has a part time assistant Simon </w:t>
      </w:r>
      <w:r w:rsidR="00576E4B">
        <w:t xml:space="preserve">Joyce. </w:t>
      </w:r>
    </w:p>
    <w:p w14:paraId="38FE1E09" w14:textId="77777777" w:rsidR="00822199" w:rsidRPr="00822199" w:rsidRDefault="00822199" w:rsidP="00B20FE3"/>
    <w:p w14:paraId="4E467AF1" w14:textId="778FA20C" w:rsidR="00B20FE3" w:rsidRPr="00C9427C" w:rsidRDefault="00B20FE3" w:rsidP="00B20FE3">
      <w:pPr>
        <w:rPr>
          <w:b/>
          <w:bCs/>
        </w:rPr>
      </w:pPr>
      <w:r w:rsidRPr="00C9427C">
        <w:rPr>
          <w:b/>
          <w:bCs/>
        </w:rPr>
        <w:t xml:space="preserve">Oathill </w:t>
      </w:r>
      <w:r w:rsidR="00822199">
        <w:rPr>
          <w:b/>
          <w:bCs/>
        </w:rPr>
        <w:t xml:space="preserve">  </w:t>
      </w:r>
      <w:r>
        <w:rPr>
          <w:b/>
          <w:bCs/>
        </w:rPr>
        <w:t>21/0050/CWS73M</w:t>
      </w:r>
    </w:p>
    <w:p w14:paraId="45475C2E" w14:textId="5E3B38D4" w:rsidR="00822199" w:rsidRDefault="00822199" w:rsidP="00B20FE3">
      <w:r>
        <w:t xml:space="preserve">On 20 Oct 2021 </w:t>
      </w:r>
      <w:r w:rsidR="00324F1B">
        <w:t>a</w:t>
      </w:r>
      <w:r w:rsidR="005663A4">
        <w:t xml:space="preserve"> </w:t>
      </w:r>
      <w:r>
        <w:t xml:space="preserve">TGPC planning meeting was held on </w:t>
      </w:r>
      <w:r w:rsidR="00B20FE3">
        <w:t>site</w:t>
      </w:r>
      <w:r>
        <w:t xml:space="preserve">. This </w:t>
      </w:r>
      <w:r w:rsidR="00B20FE3">
        <w:t xml:space="preserve">identified </w:t>
      </w:r>
      <w:r w:rsidR="00324F1B">
        <w:t>several</w:t>
      </w:r>
      <w:r w:rsidR="00B20FE3">
        <w:t xml:space="preserve"> concerns. </w:t>
      </w:r>
      <w:r>
        <w:t>The Working Party assisted with developing the TGPC response</w:t>
      </w:r>
      <w:r w:rsidR="00324F1B">
        <w:t>: to</w:t>
      </w:r>
      <w:r>
        <w:t xml:space="preserve"> question the availability of </w:t>
      </w:r>
      <w:r w:rsidR="00B20FE3">
        <w:t>retain</w:t>
      </w:r>
      <w:r>
        <w:t>ed</w:t>
      </w:r>
      <w:r w:rsidR="00B20FE3">
        <w:t xml:space="preserve"> materials </w:t>
      </w:r>
      <w:r>
        <w:t>to meet the</w:t>
      </w:r>
      <w:r w:rsidR="00933FBF">
        <w:t xml:space="preserve"> approved </w:t>
      </w:r>
      <w:r w:rsidR="00B20FE3">
        <w:t>reinstatement plan</w:t>
      </w:r>
      <w:r>
        <w:t xml:space="preserve">. Both CPRE and the CCB have since commented on the application. </w:t>
      </w:r>
    </w:p>
    <w:p w14:paraId="509542D2" w14:textId="746E6C57" w:rsidR="00822199" w:rsidRDefault="00885E7E" w:rsidP="00B20FE3">
      <w:r>
        <w:t xml:space="preserve">CDC Planning have on their website comments that the assessment of environmental data on noise and dust is deficient (dated 30 Nov) </w:t>
      </w:r>
    </w:p>
    <w:p w14:paraId="4105C42F" w14:textId="77777777" w:rsidR="00822199" w:rsidRDefault="00822199" w:rsidP="00822199">
      <w:pPr>
        <w:rPr>
          <w:b/>
          <w:bCs/>
        </w:rPr>
      </w:pPr>
    </w:p>
    <w:p w14:paraId="18681152" w14:textId="69DC3C64" w:rsidR="00822199" w:rsidRPr="00DB2F84" w:rsidRDefault="00822199" w:rsidP="00822199">
      <w:pPr>
        <w:rPr>
          <w:b/>
          <w:bCs/>
        </w:rPr>
      </w:pPr>
      <w:r w:rsidRPr="00DB2F84">
        <w:rPr>
          <w:b/>
          <w:bCs/>
        </w:rPr>
        <w:t xml:space="preserve">Naunton Quarry Application Ref </w:t>
      </w:r>
      <w:r>
        <w:rPr>
          <w:b/>
          <w:bCs/>
        </w:rPr>
        <w:t>18/0065/CWMAJM</w:t>
      </w:r>
    </w:p>
    <w:p w14:paraId="52CD27EC" w14:textId="4CC8DEF8" w:rsidR="00822199" w:rsidRDefault="00822199" w:rsidP="00822199">
      <w:r>
        <w:t xml:space="preserve">Approval was granted on 21 October 2021 for </w:t>
      </w:r>
      <w:r w:rsidR="00144B97">
        <w:t>the s</w:t>
      </w:r>
      <w:r>
        <w:t>outhern extension</w:t>
      </w:r>
      <w:r w:rsidR="00144B97">
        <w:t xml:space="preserve">, </w:t>
      </w:r>
      <w:r>
        <w:t>notification of which was received on 3 Nov 2021.  It is understood that a local resident has challenged that decision</w:t>
      </w:r>
      <w:r w:rsidR="00324F1B">
        <w:t xml:space="preserve">. </w:t>
      </w:r>
      <w:r w:rsidR="00144B97">
        <w:t xml:space="preserve"> </w:t>
      </w:r>
      <w:r w:rsidR="00324F1B">
        <w:t xml:space="preserve">It is understood that legal opinion has been obtained confirming that there is a case to assess the </w:t>
      </w:r>
      <w:r>
        <w:t>cumulative impact</w:t>
      </w:r>
      <w:r w:rsidR="00324F1B">
        <w:t>s</w:t>
      </w:r>
      <w:r>
        <w:t xml:space="preserve"> associated with the HGV movements </w:t>
      </w:r>
      <w:r w:rsidR="00324F1B">
        <w:t xml:space="preserve">from </w:t>
      </w:r>
      <w:r>
        <w:t>multiple quarries in the area</w:t>
      </w:r>
      <w:r w:rsidR="00324F1B">
        <w:t xml:space="preserve">. This validates comments previously made by TGPC. </w:t>
      </w:r>
      <w:r w:rsidR="00144B97">
        <w:t xml:space="preserve">The </w:t>
      </w:r>
      <w:r>
        <w:t xml:space="preserve">challenge has been made using local fundraising. </w:t>
      </w:r>
    </w:p>
    <w:p w14:paraId="238171B6" w14:textId="77777777" w:rsidR="00822199" w:rsidRDefault="00822199" w:rsidP="00822199"/>
    <w:p w14:paraId="4317E1F1" w14:textId="3852086F" w:rsidR="00D27227" w:rsidRPr="00324F1B" w:rsidRDefault="00822199">
      <w:pPr>
        <w:rPr>
          <w:color w:val="FF0000"/>
        </w:rPr>
      </w:pPr>
      <w:r>
        <w:t xml:space="preserve">A final reinstatement </w:t>
      </w:r>
      <w:r w:rsidR="00324F1B">
        <w:t xml:space="preserve">proposal </w:t>
      </w:r>
      <w:r>
        <w:t xml:space="preserve">has been </w:t>
      </w:r>
      <w:r w:rsidR="00324F1B">
        <w:t>received</w:t>
      </w:r>
      <w:r>
        <w:t xml:space="preserve"> for Naunton for review and comment.</w:t>
      </w:r>
    </w:p>
    <w:sectPr w:rsidR="00D27227" w:rsidRPr="0032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642DD"/>
    <w:multiLevelType w:val="hybridMultilevel"/>
    <w:tmpl w:val="AC640D1C"/>
    <w:lvl w:ilvl="0" w:tplc="08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1" w15:restartNumberingAfterBreak="0">
    <w:nsid w:val="276336C7"/>
    <w:multiLevelType w:val="hybridMultilevel"/>
    <w:tmpl w:val="A80677B4"/>
    <w:lvl w:ilvl="0" w:tplc="EC9CB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81327"/>
    <w:multiLevelType w:val="hybridMultilevel"/>
    <w:tmpl w:val="F3F489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7CD5053"/>
    <w:multiLevelType w:val="hybridMultilevel"/>
    <w:tmpl w:val="7398E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3FB1"/>
    <w:multiLevelType w:val="hybridMultilevel"/>
    <w:tmpl w:val="35E87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A3102"/>
    <w:multiLevelType w:val="hybridMultilevel"/>
    <w:tmpl w:val="8D20A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1DEA"/>
    <w:multiLevelType w:val="hybridMultilevel"/>
    <w:tmpl w:val="AC1AFC82"/>
    <w:lvl w:ilvl="0" w:tplc="0809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7C"/>
    <w:rsid w:val="00083729"/>
    <w:rsid w:val="00144B97"/>
    <w:rsid w:val="00324F1B"/>
    <w:rsid w:val="0049741D"/>
    <w:rsid w:val="004B5495"/>
    <w:rsid w:val="005046ED"/>
    <w:rsid w:val="005663A4"/>
    <w:rsid w:val="00576E4B"/>
    <w:rsid w:val="005839B0"/>
    <w:rsid w:val="00635B4D"/>
    <w:rsid w:val="006D6CE1"/>
    <w:rsid w:val="0079658F"/>
    <w:rsid w:val="00822199"/>
    <w:rsid w:val="00885E7E"/>
    <w:rsid w:val="008D25FE"/>
    <w:rsid w:val="008E0861"/>
    <w:rsid w:val="009004F1"/>
    <w:rsid w:val="00933FBF"/>
    <w:rsid w:val="00A27A4E"/>
    <w:rsid w:val="00A37C8E"/>
    <w:rsid w:val="00A4433F"/>
    <w:rsid w:val="00B20FE3"/>
    <w:rsid w:val="00BD691B"/>
    <w:rsid w:val="00C9427C"/>
    <w:rsid w:val="00CC49E8"/>
    <w:rsid w:val="00D26CCF"/>
    <w:rsid w:val="00D27227"/>
    <w:rsid w:val="00D505D6"/>
    <w:rsid w:val="00D66F95"/>
    <w:rsid w:val="00D75BAB"/>
    <w:rsid w:val="00DB2F84"/>
    <w:rsid w:val="00DF5EB0"/>
    <w:rsid w:val="00E137E5"/>
    <w:rsid w:val="00ED7C89"/>
    <w:rsid w:val="00FB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CC26"/>
  <w15:docId w15:val="{7AEAD8A9-2C93-C546-85B3-A6205DDC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6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C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93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3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7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90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9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24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1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19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Gower</dc:creator>
  <cp:keywords/>
  <dc:description/>
  <cp:lastModifiedBy>Maxi Freeman</cp:lastModifiedBy>
  <cp:revision>2</cp:revision>
  <dcterms:created xsi:type="dcterms:W3CDTF">2021-12-03T17:33:00Z</dcterms:created>
  <dcterms:modified xsi:type="dcterms:W3CDTF">2021-12-03T17:33:00Z</dcterms:modified>
</cp:coreProperties>
</file>