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C89B" w14:textId="33D7EF6D" w:rsidR="00065BE5" w:rsidRPr="007F1588" w:rsidRDefault="00065BE5" w:rsidP="00065BE5">
      <w:pPr>
        <w:spacing w:after="12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F1588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Clerk’s Report for </w:t>
      </w:r>
    </w:p>
    <w:p w14:paraId="632B1E66" w14:textId="1B750E99" w:rsidR="00C43705" w:rsidRDefault="00C43705" w:rsidP="00065BE5">
      <w:pPr>
        <w:spacing w:after="120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Monday </w:t>
      </w:r>
      <w:r w:rsidR="00B2455C">
        <w:rPr>
          <w:rFonts w:ascii="Arial" w:hAnsi="Arial" w:cs="Arial"/>
          <w:sz w:val="24"/>
          <w:szCs w:val="24"/>
          <w:lang w:eastAsia="en-US"/>
        </w:rPr>
        <w:t>31</w:t>
      </w:r>
      <w:r w:rsidR="001859A7" w:rsidRPr="001859A7">
        <w:rPr>
          <w:rFonts w:ascii="Arial" w:hAnsi="Arial" w:cs="Arial"/>
          <w:sz w:val="24"/>
          <w:szCs w:val="24"/>
          <w:vertAlign w:val="superscript"/>
          <w:lang w:eastAsia="en-US"/>
        </w:rPr>
        <w:t>st</w:t>
      </w:r>
      <w:r w:rsidR="001859A7">
        <w:rPr>
          <w:rFonts w:ascii="Arial" w:hAnsi="Arial" w:cs="Arial"/>
          <w:sz w:val="24"/>
          <w:szCs w:val="24"/>
          <w:lang w:eastAsia="en-US"/>
        </w:rPr>
        <w:t xml:space="preserve"> May </w:t>
      </w:r>
      <w:r>
        <w:rPr>
          <w:rFonts w:ascii="Arial" w:hAnsi="Arial" w:cs="Arial"/>
          <w:sz w:val="24"/>
          <w:szCs w:val="24"/>
          <w:lang w:eastAsia="en-US"/>
        </w:rPr>
        <w:t xml:space="preserve">to Friday </w:t>
      </w:r>
      <w:r w:rsidR="001859A7">
        <w:rPr>
          <w:rFonts w:ascii="Arial" w:hAnsi="Arial" w:cs="Arial"/>
          <w:sz w:val="24"/>
          <w:szCs w:val="24"/>
          <w:lang w:eastAsia="en-US"/>
        </w:rPr>
        <w:t>2</w:t>
      </w:r>
      <w:r w:rsidR="001859A7" w:rsidRPr="001859A7">
        <w:rPr>
          <w:rFonts w:ascii="Arial" w:hAnsi="Arial" w:cs="Arial"/>
          <w:sz w:val="24"/>
          <w:szCs w:val="24"/>
          <w:vertAlign w:val="superscript"/>
          <w:lang w:eastAsia="en-US"/>
        </w:rPr>
        <w:t>nd</w:t>
      </w:r>
      <w:r w:rsidR="001859A7">
        <w:rPr>
          <w:rFonts w:ascii="Arial" w:hAnsi="Arial" w:cs="Arial"/>
          <w:sz w:val="24"/>
          <w:szCs w:val="24"/>
          <w:lang w:eastAsia="en-US"/>
        </w:rPr>
        <w:t xml:space="preserve"> July </w:t>
      </w:r>
      <w:r>
        <w:rPr>
          <w:rFonts w:ascii="Arial" w:hAnsi="Arial" w:cs="Arial"/>
          <w:sz w:val="24"/>
          <w:szCs w:val="24"/>
          <w:lang w:eastAsia="en-US"/>
        </w:rPr>
        <w:t>2021</w:t>
      </w:r>
    </w:p>
    <w:p w14:paraId="24B45EB9" w14:textId="77777777" w:rsidR="00065BE5" w:rsidRPr="00E36158" w:rsidRDefault="00065BE5" w:rsidP="00065BE5">
      <w:pPr>
        <w:spacing w:after="12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7F1588">
        <w:rPr>
          <w:rFonts w:ascii="Arial" w:eastAsia="Calibri" w:hAnsi="Arial" w:cs="Arial"/>
          <w:sz w:val="24"/>
          <w:szCs w:val="24"/>
          <w:lang w:eastAsia="en-US"/>
        </w:rPr>
        <w:t>(Points numbered according to the minutes of the last meeting</w:t>
      </w:r>
      <w:r w:rsidRPr="00E36158">
        <w:rPr>
          <w:rFonts w:ascii="Arial" w:eastAsia="Calibri" w:hAnsi="Arial" w:cs="Arial"/>
          <w:sz w:val="24"/>
          <w:szCs w:val="24"/>
          <w:lang w:eastAsia="en-US"/>
        </w:rPr>
        <w:t>.)</w:t>
      </w:r>
    </w:p>
    <w:p w14:paraId="17A560F2" w14:textId="5669BD03" w:rsidR="00065BE5" w:rsidRPr="00074654" w:rsidRDefault="00CD5541" w:rsidP="005E13A4">
      <w:pPr>
        <w:spacing w:after="120"/>
        <w:ind w:hanging="567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4</w:t>
      </w:r>
      <w:r w:rsidR="00065BE5" w:rsidRPr="00065BE5">
        <w:rPr>
          <w:rFonts w:ascii="Arial" w:hAnsi="Arial" w:cs="Arial"/>
          <w:b/>
          <w:sz w:val="24"/>
          <w:szCs w:val="24"/>
          <w:lang w:eastAsia="en-US"/>
        </w:rPr>
        <w:t>.</w:t>
      </w:r>
      <w:r w:rsidR="00065BE5" w:rsidRPr="00065BE5">
        <w:rPr>
          <w:rFonts w:ascii="Arial" w:hAnsi="Arial" w:cs="Arial"/>
          <w:b/>
          <w:sz w:val="24"/>
          <w:szCs w:val="24"/>
          <w:lang w:eastAsia="en-US"/>
        </w:rPr>
        <w:tab/>
      </w:r>
      <w:r w:rsidR="00065BE5" w:rsidRPr="00E42A4B">
        <w:rPr>
          <w:rFonts w:ascii="Arial" w:hAnsi="Arial" w:cs="Arial"/>
          <w:b/>
          <w:lang w:eastAsia="en-US"/>
        </w:rPr>
        <w:t xml:space="preserve">Minutes.  </w:t>
      </w:r>
      <w:r w:rsidR="00065BE5" w:rsidRPr="00E42A4B">
        <w:rPr>
          <w:rFonts w:ascii="Arial" w:hAnsi="Arial" w:cs="Arial"/>
          <w:lang w:eastAsia="en-US"/>
        </w:rPr>
        <w:t>Clerk has posted the previous minutes to the website and the noticeboards</w:t>
      </w:r>
      <w:r w:rsidR="0037652A">
        <w:rPr>
          <w:rFonts w:ascii="Arial" w:hAnsi="Arial" w:cs="Arial"/>
          <w:sz w:val="24"/>
          <w:szCs w:val="24"/>
          <w:lang w:eastAsia="en-US"/>
        </w:rPr>
        <w:t xml:space="preserve">. </w:t>
      </w:r>
      <w:r w:rsidR="5A5E5DE0" w:rsidRPr="5A5E5DE0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6CC6CC8C" w14:textId="77777777" w:rsidR="00674378" w:rsidRDefault="00674378" w:rsidP="00F0778C">
      <w:pPr>
        <w:ind w:hanging="567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7.</w:t>
      </w:r>
      <w:r>
        <w:rPr>
          <w:rFonts w:ascii="Arial" w:hAnsi="Arial" w:cs="Arial"/>
          <w:b/>
          <w:lang w:eastAsia="en-US"/>
        </w:rPr>
        <w:tab/>
        <w:t>Parking in Temple Guiting</w:t>
      </w:r>
    </w:p>
    <w:p w14:paraId="5E312276" w14:textId="0828217D" w:rsidR="00674378" w:rsidRDefault="00674378" w:rsidP="00E42A4B">
      <w:pPr>
        <w:spacing w:after="120"/>
        <w:ind w:hanging="567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/>
          <w:lang w:eastAsia="en-US"/>
        </w:rPr>
        <w:tab/>
      </w:r>
      <w:r w:rsidRPr="00B04E01">
        <w:rPr>
          <w:rFonts w:ascii="Arial" w:hAnsi="Arial" w:cs="Arial"/>
          <w:bCs/>
          <w:lang w:eastAsia="en-US"/>
        </w:rPr>
        <w:t>Clerk c</w:t>
      </w:r>
      <w:r w:rsidR="00741A21">
        <w:rPr>
          <w:rFonts w:ascii="Arial" w:hAnsi="Arial" w:cs="Arial"/>
          <w:bCs/>
          <w:lang w:eastAsia="en-US"/>
        </w:rPr>
        <w:t xml:space="preserve">ontacted further sign provider for </w:t>
      </w:r>
      <w:r w:rsidR="0038725D">
        <w:rPr>
          <w:rFonts w:ascii="Arial" w:hAnsi="Arial" w:cs="Arial"/>
          <w:bCs/>
          <w:lang w:eastAsia="en-US"/>
        </w:rPr>
        <w:t xml:space="preserve">quote. </w:t>
      </w:r>
    </w:p>
    <w:p w14:paraId="591E769D" w14:textId="21A1FB44" w:rsidR="00570CB7" w:rsidRDefault="00144793" w:rsidP="00F0778C">
      <w:pPr>
        <w:ind w:hanging="567"/>
        <w:rPr>
          <w:rFonts w:ascii="Arial" w:hAnsi="Arial" w:cs="Arial"/>
          <w:b/>
          <w:lang w:eastAsia="en-US"/>
        </w:rPr>
      </w:pPr>
      <w:r w:rsidRPr="00F0778C">
        <w:rPr>
          <w:rFonts w:ascii="Arial" w:hAnsi="Arial" w:cs="Arial"/>
          <w:b/>
          <w:lang w:eastAsia="en-US"/>
        </w:rPr>
        <w:t>9.</w:t>
      </w:r>
      <w:r w:rsidRPr="00F0778C">
        <w:rPr>
          <w:rFonts w:ascii="Arial" w:hAnsi="Arial" w:cs="Arial"/>
          <w:b/>
          <w:lang w:eastAsia="en-US"/>
        </w:rPr>
        <w:tab/>
      </w:r>
      <w:r w:rsidR="00570CB7">
        <w:rPr>
          <w:rFonts w:ascii="Arial" w:hAnsi="Arial" w:cs="Arial"/>
          <w:b/>
          <w:lang w:eastAsia="en-US"/>
        </w:rPr>
        <w:t>Quarries</w:t>
      </w:r>
    </w:p>
    <w:p w14:paraId="514DB454" w14:textId="08B5BEC4" w:rsidR="00050B2D" w:rsidRDefault="00144793" w:rsidP="00050B2D">
      <w:pPr>
        <w:spacing w:after="120"/>
        <w:ind w:hanging="567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ab/>
        <w:t xml:space="preserve">Clerk </w:t>
      </w:r>
      <w:r w:rsidR="0038725D">
        <w:rPr>
          <w:rFonts w:ascii="Arial" w:hAnsi="Arial" w:cs="Arial"/>
          <w:bCs/>
          <w:lang w:eastAsia="en-US"/>
        </w:rPr>
        <w:t xml:space="preserve">provided minutes for meeting with GCC Highways on </w:t>
      </w:r>
      <w:r w:rsidR="00B81B39">
        <w:rPr>
          <w:rFonts w:ascii="Arial" w:hAnsi="Arial" w:cs="Arial"/>
          <w:bCs/>
          <w:lang w:eastAsia="en-US"/>
        </w:rPr>
        <w:t>June 7</w:t>
      </w:r>
      <w:r w:rsidR="003D7967">
        <w:rPr>
          <w:rFonts w:ascii="Arial" w:hAnsi="Arial" w:cs="Arial"/>
          <w:bCs/>
          <w:lang w:eastAsia="en-US"/>
        </w:rPr>
        <w:t xml:space="preserve"> and circulated them to attendees. </w:t>
      </w:r>
      <w:r w:rsidR="0038725D">
        <w:rPr>
          <w:rFonts w:ascii="Arial" w:hAnsi="Arial" w:cs="Arial"/>
          <w:bCs/>
          <w:lang w:eastAsia="en-US"/>
        </w:rPr>
        <w:t xml:space="preserve"> Clerk also edited review of Cumulative Impact </w:t>
      </w:r>
      <w:r w:rsidR="00587E56">
        <w:rPr>
          <w:rFonts w:ascii="Arial" w:hAnsi="Arial" w:cs="Arial"/>
          <w:bCs/>
          <w:lang w:eastAsia="en-US"/>
        </w:rPr>
        <w:t>legal documents</w:t>
      </w:r>
      <w:r w:rsidR="007F2FC5">
        <w:rPr>
          <w:rFonts w:ascii="Arial" w:hAnsi="Arial" w:cs="Arial"/>
          <w:bCs/>
          <w:lang w:eastAsia="en-US"/>
        </w:rPr>
        <w:t xml:space="preserve"> and</w:t>
      </w:r>
      <w:r w:rsidR="00587E56">
        <w:rPr>
          <w:rFonts w:ascii="Arial" w:hAnsi="Arial" w:cs="Arial"/>
          <w:bCs/>
          <w:lang w:eastAsia="en-US"/>
        </w:rPr>
        <w:t xml:space="preserve"> circulated these to attendees.</w:t>
      </w:r>
      <w:r w:rsidR="007F2FC5">
        <w:rPr>
          <w:rFonts w:ascii="Arial" w:hAnsi="Arial" w:cs="Arial"/>
          <w:bCs/>
          <w:lang w:eastAsia="en-US"/>
        </w:rPr>
        <w:t xml:space="preserve"> As well as </w:t>
      </w:r>
      <w:r w:rsidR="00D032D5">
        <w:rPr>
          <w:rFonts w:ascii="Arial" w:hAnsi="Arial" w:cs="Arial"/>
          <w:bCs/>
          <w:lang w:eastAsia="en-US"/>
        </w:rPr>
        <w:t xml:space="preserve">Cllr </w:t>
      </w:r>
      <w:r w:rsidR="007F2FC5">
        <w:rPr>
          <w:rFonts w:ascii="Arial" w:hAnsi="Arial" w:cs="Arial"/>
          <w:bCs/>
          <w:lang w:eastAsia="en-US"/>
        </w:rPr>
        <w:t xml:space="preserve">Mark </w:t>
      </w:r>
      <w:r w:rsidR="00D032D5">
        <w:rPr>
          <w:rFonts w:ascii="Arial" w:hAnsi="Arial" w:cs="Arial"/>
          <w:bCs/>
          <w:lang w:eastAsia="en-US"/>
        </w:rPr>
        <w:t>McKenzie-</w:t>
      </w:r>
      <w:proofErr w:type="spellStart"/>
      <w:r w:rsidR="00D032D5">
        <w:rPr>
          <w:rFonts w:ascii="Arial" w:hAnsi="Arial" w:cs="Arial"/>
          <w:bCs/>
          <w:lang w:eastAsia="en-US"/>
        </w:rPr>
        <w:t>Charrington</w:t>
      </w:r>
      <w:proofErr w:type="spellEnd"/>
      <w:r w:rsidR="00D032D5">
        <w:rPr>
          <w:rFonts w:ascii="Arial" w:hAnsi="Arial" w:cs="Arial"/>
          <w:bCs/>
          <w:lang w:eastAsia="en-US"/>
        </w:rPr>
        <w:t xml:space="preserve">, CCB and CPRE. </w:t>
      </w:r>
      <w:r w:rsidR="00587E56">
        <w:rPr>
          <w:rFonts w:ascii="Arial" w:hAnsi="Arial" w:cs="Arial"/>
          <w:bCs/>
          <w:lang w:eastAsia="en-US"/>
        </w:rPr>
        <w:t xml:space="preserve"> </w:t>
      </w:r>
    </w:p>
    <w:p w14:paraId="0F8D241B" w14:textId="5B0612D2" w:rsidR="00FA072F" w:rsidRPr="008430CC" w:rsidRDefault="00F0778C" w:rsidP="00D5466D">
      <w:pPr>
        <w:ind w:hanging="567"/>
        <w:rPr>
          <w:rFonts w:ascii="Arial" w:hAnsi="Arial" w:cs="Arial"/>
          <w:b/>
          <w:lang w:eastAsia="en-US"/>
        </w:rPr>
      </w:pPr>
      <w:r w:rsidRPr="00A70DA6">
        <w:rPr>
          <w:rFonts w:ascii="Arial" w:hAnsi="Arial" w:cs="Arial"/>
          <w:b/>
          <w:lang w:eastAsia="en-US"/>
        </w:rPr>
        <w:t>1</w:t>
      </w:r>
      <w:r w:rsidR="00F61745" w:rsidRPr="00A70DA6">
        <w:rPr>
          <w:rFonts w:ascii="Arial" w:hAnsi="Arial" w:cs="Arial"/>
          <w:b/>
          <w:lang w:eastAsia="en-US"/>
        </w:rPr>
        <w:t>0</w:t>
      </w:r>
      <w:r w:rsidRPr="00A70DA6">
        <w:rPr>
          <w:rFonts w:ascii="Arial" w:hAnsi="Arial" w:cs="Arial"/>
          <w:b/>
          <w:lang w:eastAsia="en-US"/>
        </w:rPr>
        <w:t>.</w:t>
      </w:r>
      <w:r w:rsidRPr="00A70DA6">
        <w:rPr>
          <w:rFonts w:ascii="Arial" w:hAnsi="Arial" w:cs="Arial"/>
          <w:b/>
          <w:lang w:eastAsia="en-US"/>
        </w:rPr>
        <w:tab/>
      </w:r>
      <w:r w:rsidR="009C03CD" w:rsidRPr="00A70DA6">
        <w:rPr>
          <w:rFonts w:ascii="Arial" w:hAnsi="Arial" w:cs="Arial"/>
          <w:b/>
          <w:lang w:eastAsia="en-US"/>
        </w:rPr>
        <w:t>Litter picking</w:t>
      </w:r>
      <w:r w:rsidR="00FA072F" w:rsidRPr="008430CC">
        <w:rPr>
          <w:rFonts w:ascii="Arial" w:hAnsi="Arial" w:cs="Arial"/>
          <w:b/>
          <w:lang w:eastAsia="en-US"/>
        </w:rPr>
        <w:t xml:space="preserve"> </w:t>
      </w:r>
    </w:p>
    <w:p w14:paraId="6E4B4D98" w14:textId="7FC94266" w:rsidR="00CE1BB3" w:rsidRDefault="00B81B39" w:rsidP="00A70DA6">
      <w:pPr>
        <w:spacing w:after="120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Clerk passed information to Cllr Mather for further </w:t>
      </w:r>
      <w:r w:rsidR="00330C66">
        <w:rPr>
          <w:rFonts w:ascii="Arial" w:hAnsi="Arial" w:cs="Arial"/>
          <w:bCs/>
          <w:lang w:eastAsia="en-US"/>
        </w:rPr>
        <w:t xml:space="preserve">investigation.  </w:t>
      </w:r>
    </w:p>
    <w:p w14:paraId="2F4879DE" w14:textId="77777777" w:rsidR="004169DA" w:rsidRDefault="008430CC" w:rsidP="002D61FB">
      <w:pPr>
        <w:ind w:hanging="567"/>
        <w:rPr>
          <w:rFonts w:ascii="Arial" w:hAnsi="Arial" w:cs="Arial"/>
          <w:b/>
          <w:lang w:eastAsia="en-US"/>
        </w:rPr>
      </w:pPr>
      <w:r w:rsidRPr="00A70DA6">
        <w:rPr>
          <w:rFonts w:ascii="Arial" w:hAnsi="Arial" w:cs="Arial"/>
          <w:b/>
          <w:lang w:eastAsia="en-US"/>
        </w:rPr>
        <w:t>1</w:t>
      </w:r>
      <w:r w:rsidR="004169DA" w:rsidRPr="00A70DA6">
        <w:rPr>
          <w:rFonts w:ascii="Arial" w:hAnsi="Arial" w:cs="Arial"/>
          <w:b/>
          <w:lang w:eastAsia="en-US"/>
        </w:rPr>
        <w:t>1</w:t>
      </w:r>
      <w:r w:rsidRPr="00A70DA6">
        <w:rPr>
          <w:rFonts w:ascii="Arial" w:hAnsi="Arial" w:cs="Arial"/>
          <w:b/>
          <w:lang w:eastAsia="en-US"/>
        </w:rPr>
        <w:t>.</w:t>
      </w:r>
      <w:r w:rsidR="004169DA" w:rsidRPr="00A70DA6">
        <w:rPr>
          <w:rFonts w:ascii="Arial" w:hAnsi="Arial" w:cs="Arial"/>
          <w:b/>
          <w:lang w:eastAsia="en-US"/>
        </w:rPr>
        <w:tab/>
        <w:t>Public Rights of Way.</w:t>
      </w:r>
    </w:p>
    <w:p w14:paraId="20B9334C" w14:textId="0460D6E8" w:rsidR="004169DA" w:rsidRDefault="004169DA" w:rsidP="00A70DA6">
      <w:pPr>
        <w:pStyle w:val="yiv1213045286ydp81b0388cyiv5729158960msonormal"/>
        <w:shd w:val="clear" w:color="auto" w:fill="FFFFFF"/>
        <w:spacing w:before="0" w:beforeAutospacing="0" w:after="120" w:afterAutospacing="0"/>
        <w:rPr>
          <w:rFonts w:ascii="Arial" w:hAnsi="Arial" w:cs="Arial"/>
          <w:bCs/>
          <w:lang w:eastAsia="en-US"/>
        </w:rPr>
      </w:pPr>
      <w:r w:rsidRPr="00C00415">
        <w:rPr>
          <w:rFonts w:ascii="Arial" w:hAnsi="Arial" w:cs="Arial"/>
          <w:bCs/>
          <w:sz w:val="22"/>
          <w:szCs w:val="22"/>
          <w:lang w:eastAsia="en-US"/>
        </w:rPr>
        <w:t>Clerk passed information to Cllr Mather for follow up.</w:t>
      </w:r>
      <w:r w:rsidR="005C1FD0" w:rsidRPr="00C00415">
        <w:rPr>
          <w:rFonts w:ascii="Arial" w:hAnsi="Arial" w:cs="Arial"/>
          <w:bCs/>
          <w:sz w:val="22"/>
          <w:szCs w:val="22"/>
          <w:lang w:eastAsia="en-US"/>
        </w:rPr>
        <w:t xml:space="preserve">  </w:t>
      </w:r>
    </w:p>
    <w:p w14:paraId="2E35F800" w14:textId="6939A70C" w:rsidR="008B15B1" w:rsidRDefault="00C2759E" w:rsidP="008B15B1">
      <w:pPr>
        <w:ind w:hanging="567"/>
        <w:rPr>
          <w:rFonts w:ascii="Arial" w:hAnsi="Arial" w:cs="Arial"/>
          <w:b/>
          <w:lang w:eastAsia="en-US"/>
        </w:rPr>
      </w:pPr>
      <w:r w:rsidRPr="000F6F58">
        <w:rPr>
          <w:rFonts w:ascii="Arial" w:hAnsi="Arial" w:cs="Arial"/>
          <w:b/>
          <w:lang w:eastAsia="en-US"/>
        </w:rPr>
        <w:t>9</w:t>
      </w:r>
      <w:r w:rsidR="008B15B1" w:rsidRPr="000F6F58">
        <w:rPr>
          <w:rFonts w:ascii="Arial" w:hAnsi="Arial" w:cs="Arial"/>
          <w:b/>
          <w:lang w:eastAsia="en-US"/>
        </w:rPr>
        <w:t>.</w:t>
      </w:r>
      <w:r w:rsidR="008B15B1" w:rsidRPr="000F6F58">
        <w:rPr>
          <w:rFonts w:ascii="Arial" w:hAnsi="Arial" w:cs="Arial"/>
          <w:b/>
          <w:lang w:eastAsia="en-US"/>
        </w:rPr>
        <w:tab/>
        <w:t>Planning</w:t>
      </w:r>
    </w:p>
    <w:p w14:paraId="3010E0FC" w14:textId="63CA6C2C" w:rsidR="008B15B1" w:rsidRDefault="008B15B1" w:rsidP="00C2759E">
      <w:pPr>
        <w:spacing w:after="120"/>
        <w:ind w:hanging="567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/>
          <w:lang w:eastAsia="en-US"/>
        </w:rPr>
        <w:tab/>
      </w:r>
      <w:r w:rsidRPr="00072665">
        <w:rPr>
          <w:rFonts w:ascii="Arial" w:hAnsi="Arial" w:cs="Arial"/>
          <w:bCs/>
          <w:lang w:eastAsia="en-US"/>
        </w:rPr>
        <w:t>Clerk posted councillors</w:t>
      </w:r>
      <w:r w:rsidR="00C7395D">
        <w:rPr>
          <w:rFonts w:ascii="Arial" w:hAnsi="Arial" w:cs="Arial"/>
          <w:bCs/>
          <w:lang w:eastAsia="en-US"/>
        </w:rPr>
        <w:t>’</w:t>
      </w:r>
      <w:r w:rsidRPr="00072665">
        <w:rPr>
          <w:rFonts w:ascii="Arial" w:hAnsi="Arial" w:cs="Arial"/>
          <w:bCs/>
          <w:lang w:eastAsia="en-US"/>
        </w:rPr>
        <w:t xml:space="preserve"> comments </w:t>
      </w:r>
      <w:r w:rsidR="00462DC7">
        <w:rPr>
          <w:rFonts w:ascii="Arial" w:hAnsi="Arial" w:cs="Arial"/>
          <w:bCs/>
          <w:lang w:eastAsia="en-US"/>
        </w:rPr>
        <w:t>on</w:t>
      </w:r>
      <w:r w:rsidRPr="00072665">
        <w:rPr>
          <w:rFonts w:ascii="Arial" w:hAnsi="Arial" w:cs="Arial"/>
          <w:bCs/>
          <w:lang w:eastAsia="en-US"/>
        </w:rPr>
        <w:t xml:space="preserve"> the following applications to the CDC planning portal:</w:t>
      </w:r>
    </w:p>
    <w:p w14:paraId="478CE368" w14:textId="77777777" w:rsidR="00C2759E" w:rsidRPr="00C2759E" w:rsidRDefault="0089701C" w:rsidP="00C2759E">
      <w:pPr>
        <w:widowControl w:val="0"/>
        <w:autoSpaceDE w:val="0"/>
        <w:autoSpaceDN w:val="0"/>
        <w:rPr>
          <w:rFonts w:ascii="Arial" w:eastAsia="Calibri" w:hAnsi="Arial" w:cs="Arial"/>
          <w:bCs/>
          <w:lang w:bidi="en-US"/>
        </w:rPr>
      </w:pPr>
      <w:hyperlink r:id="rId7" w:history="1">
        <w:r w:rsidR="00C2759E" w:rsidRPr="00C2759E">
          <w:rPr>
            <w:rFonts w:ascii="Arial" w:eastAsia="Calibri" w:hAnsi="Arial" w:cs="Arial"/>
            <w:bCs/>
            <w:color w:val="0000FF"/>
            <w:u w:val="single"/>
            <w:lang w:bidi="en-US"/>
          </w:rPr>
          <w:t>21/0030/CWREG30</w:t>
        </w:r>
      </w:hyperlink>
      <w:r w:rsidR="00C2759E" w:rsidRPr="00C2759E">
        <w:rPr>
          <w:rFonts w:ascii="Arial" w:eastAsia="Calibri" w:hAnsi="Arial" w:cs="Arial"/>
          <w:bCs/>
          <w:lang w:bidi="en-US"/>
        </w:rPr>
        <w:t xml:space="preserve"> proposed temporary modular building at Temple Guiting School.</w:t>
      </w:r>
    </w:p>
    <w:p w14:paraId="02FCEF8A" w14:textId="262A746C" w:rsidR="00C2759E" w:rsidRPr="00C2759E" w:rsidRDefault="009F5485" w:rsidP="00C2759E">
      <w:pPr>
        <w:widowControl w:val="0"/>
        <w:autoSpaceDE w:val="0"/>
        <w:autoSpaceDN w:val="0"/>
        <w:rPr>
          <w:rFonts w:ascii="Arial" w:eastAsia="Calibri" w:hAnsi="Arial" w:cs="Arial"/>
          <w:bCs/>
          <w:lang w:bidi="en-US"/>
        </w:rPr>
      </w:pPr>
      <w:r>
        <w:rPr>
          <w:rFonts w:ascii="Arial" w:eastAsia="Calibri" w:hAnsi="Arial" w:cs="Arial"/>
          <w:bCs/>
          <w:lang w:bidi="en-US"/>
        </w:rPr>
        <w:t xml:space="preserve">Requested </w:t>
      </w:r>
      <w:r w:rsidR="00C2759E" w:rsidRPr="00C2759E">
        <w:rPr>
          <w:rFonts w:ascii="Arial" w:eastAsia="Calibri" w:hAnsi="Arial" w:cs="Arial"/>
          <w:bCs/>
          <w:lang w:bidi="en-US"/>
        </w:rPr>
        <w:t xml:space="preserve">replacement of the existing modular building with a permanent building which would provide capacity for current and future needs, and which would be more appropriate to the Conservation Area and its Cotswold AONB setting.  </w:t>
      </w:r>
    </w:p>
    <w:p w14:paraId="3C7E440B" w14:textId="704DFCF6" w:rsidR="00C2759E" w:rsidRPr="00C2759E" w:rsidRDefault="0089701C" w:rsidP="00C2759E">
      <w:pPr>
        <w:widowControl w:val="0"/>
        <w:autoSpaceDE w:val="0"/>
        <w:autoSpaceDN w:val="0"/>
        <w:rPr>
          <w:rFonts w:ascii="Arial" w:eastAsia="Calibri" w:hAnsi="Arial" w:cs="Arial"/>
          <w:color w:val="333333"/>
          <w:shd w:val="clear" w:color="auto" w:fill="FFFFFF"/>
          <w:lang w:bidi="en-GB"/>
        </w:rPr>
      </w:pPr>
      <w:hyperlink r:id="rId8" w:history="1">
        <w:r w:rsidR="00C2759E" w:rsidRPr="00C2759E">
          <w:rPr>
            <w:rFonts w:ascii="Arial" w:eastAsia="Calibri" w:hAnsi="Arial" w:cs="Arial"/>
            <w:bCs/>
            <w:color w:val="0000FF"/>
            <w:u w:val="single"/>
            <w:lang w:bidi="en-US"/>
          </w:rPr>
          <w:t>21/01719 /TCONR</w:t>
        </w:r>
      </w:hyperlink>
      <w:r w:rsidR="00C2759E" w:rsidRPr="00C2759E">
        <w:rPr>
          <w:rFonts w:ascii="Arial" w:eastAsia="Calibri" w:hAnsi="Arial" w:cs="Arial"/>
          <w:bCs/>
          <w:lang w:bidi="en-US"/>
        </w:rPr>
        <w:t xml:space="preserve"> </w:t>
      </w:r>
      <w:r w:rsidR="00C2759E" w:rsidRPr="00C2759E">
        <w:rPr>
          <w:rFonts w:ascii="Arial" w:eastAsia="Calibri" w:hAnsi="Arial" w:cs="Arial"/>
          <w:color w:val="333333"/>
          <w:shd w:val="clear" w:color="auto" w:fill="FFFFFF"/>
          <w:lang w:bidi="en-GB"/>
        </w:rPr>
        <w:t xml:space="preserve">Tree works at 1 Windrush Court Ford. </w:t>
      </w:r>
      <w:r w:rsidR="009F5485">
        <w:rPr>
          <w:rFonts w:ascii="Arial" w:eastAsia="Calibri" w:hAnsi="Arial" w:cs="Arial"/>
          <w:color w:val="333333"/>
          <w:shd w:val="clear" w:color="auto" w:fill="FFFFFF"/>
          <w:lang w:bidi="en-GB"/>
        </w:rPr>
        <w:t xml:space="preserve"> </w:t>
      </w:r>
      <w:r w:rsidR="0057491D">
        <w:rPr>
          <w:rFonts w:ascii="Arial" w:eastAsia="Calibri" w:hAnsi="Arial" w:cs="Arial"/>
          <w:color w:val="333333"/>
          <w:shd w:val="clear" w:color="auto" w:fill="FFFFFF"/>
          <w:lang w:bidi="en-GB"/>
        </w:rPr>
        <w:t xml:space="preserve">No objections. </w:t>
      </w:r>
    </w:p>
    <w:p w14:paraId="4E564098" w14:textId="77777777" w:rsidR="002206D6" w:rsidRDefault="002206D6" w:rsidP="00801A7B">
      <w:pPr>
        <w:rPr>
          <w:rFonts w:ascii="Arial" w:hAnsi="Arial" w:cs="Arial"/>
          <w:bCs/>
          <w:lang w:eastAsia="en-US"/>
        </w:rPr>
      </w:pPr>
    </w:p>
    <w:p w14:paraId="2E915D20" w14:textId="56045968" w:rsidR="002206D6" w:rsidRDefault="0066727F" w:rsidP="00801A7B">
      <w:pPr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Clerk arranged and attended site meetings for applications at Landgate House and at </w:t>
      </w:r>
      <w:r w:rsidR="00BB15B3">
        <w:rPr>
          <w:rFonts w:ascii="Arial" w:hAnsi="Arial" w:cs="Arial"/>
          <w:bCs/>
          <w:lang w:eastAsia="en-US"/>
        </w:rPr>
        <w:t xml:space="preserve">2 Hyde Cottages.  </w:t>
      </w:r>
    </w:p>
    <w:p w14:paraId="7FE6C0CC" w14:textId="527F4007" w:rsidR="00BB15B3" w:rsidRDefault="00BB15B3" w:rsidP="00801A7B">
      <w:pPr>
        <w:rPr>
          <w:rFonts w:ascii="Arial" w:hAnsi="Arial" w:cs="Arial"/>
          <w:bCs/>
          <w:lang w:eastAsia="en-US"/>
        </w:rPr>
      </w:pPr>
    </w:p>
    <w:p w14:paraId="76C8385D" w14:textId="77777777" w:rsidR="00BB15B3" w:rsidRDefault="00BB15B3" w:rsidP="00801A7B">
      <w:pPr>
        <w:rPr>
          <w:rFonts w:ascii="Arial" w:hAnsi="Arial" w:cs="Arial"/>
          <w:bCs/>
          <w:lang w:eastAsia="en-US"/>
        </w:rPr>
      </w:pPr>
    </w:p>
    <w:p w14:paraId="39D6DAC9" w14:textId="19AE5956" w:rsidR="00340161" w:rsidRPr="002206D6" w:rsidRDefault="00340161" w:rsidP="00801A7B">
      <w:pPr>
        <w:rPr>
          <w:rFonts w:ascii="Arial" w:hAnsi="Arial" w:cs="Arial"/>
          <w:b/>
          <w:sz w:val="24"/>
          <w:szCs w:val="24"/>
          <w:lang w:eastAsia="en-US"/>
        </w:rPr>
      </w:pPr>
      <w:r w:rsidRPr="002206D6">
        <w:rPr>
          <w:rFonts w:ascii="Arial" w:hAnsi="Arial" w:cs="Arial"/>
          <w:b/>
          <w:sz w:val="24"/>
          <w:szCs w:val="24"/>
          <w:lang w:eastAsia="en-US"/>
        </w:rPr>
        <w:t>Other</w:t>
      </w:r>
    </w:p>
    <w:p w14:paraId="029428C4" w14:textId="77777777" w:rsidR="00340161" w:rsidRDefault="00340161" w:rsidP="00340161">
      <w:pPr>
        <w:pStyle w:val="yiv1213045286ydp81b0388cyiv5729158960msonormal"/>
        <w:shd w:val="clear" w:color="auto" w:fill="FFFFFF"/>
        <w:spacing w:before="0" w:beforeAutospacing="0" w:after="120" w:afterAutospacing="0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Clerk included news items with the minutes email. </w:t>
      </w:r>
    </w:p>
    <w:p w14:paraId="08EC8F38" w14:textId="31DBC3BA" w:rsidR="00340161" w:rsidRDefault="00340161" w:rsidP="00340161">
      <w:pPr>
        <w:pStyle w:val="yiv1213045286ydp81b0388cyiv5729158960msonormal"/>
        <w:shd w:val="clear" w:color="auto" w:fill="FFFFFF"/>
        <w:spacing w:before="0" w:beforeAutospacing="0" w:after="120" w:afterAutospacing="0"/>
        <w:rPr>
          <w:rFonts w:ascii="Arial" w:hAnsi="Arial" w:cs="Arial"/>
          <w:bCs/>
          <w:lang w:eastAsia="en-US"/>
        </w:rPr>
      </w:pPr>
      <w:r w:rsidRPr="0049353E">
        <w:rPr>
          <w:rFonts w:ascii="Arial" w:hAnsi="Arial" w:cs="Arial"/>
          <w:bCs/>
          <w:lang w:eastAsia="en-US"/>
        </w:rPr>
        <w:t xml:space="preserve">Clerk contacted </w:t>
      </w:r>
      <w:proofErr w:type="spellStart"/>
      <w:r w:rsidRPr="0049353E">
        <w:rPr>
          <w:rFonts w:ascii="Arial" w:hAnsi="Arial" w:cs="Arial"/>
          <w:bCs/>
          <w:lang w:eastAsia="en-US"/>
        </w:rPr>
        <w:t>Bidwells</w:t>
      </w:r>
      <w:proofErr w:type="spellEnd"/>
      <w:r w:rsidR="00B71ECA" w:rsidRPr="0049353E">
        <w:rPr>
          <w:rFonts w:ascii="Arial" w:hAnsi="Arial" w:cs="Arial"/>
          <w:bCs/>
          <w:lang w:eastAsia="en-US"/>
        </w:rPr>
        <w:t xml:space="preserve"> again. </w:t>
      </w:r>
      <w:proofErr w:type="spellStart"/>
      <w:r w:rsidRPr="0049353E">
        <w:rPr>
          <w:rFonts w:ascii="Arial" w:hAnsi="Arial" w:cs="Arial"/>
          <w:bCs/>
          <w:lang w:eastAsia="en-US"/>
        </w:rPr>
        <w:t>Bidwells</w:t>
      </w:r>
      <w:proofErr w:type="spellEnd"/>
      <w:r w:rsidRPr="0049353E">
        <w:rPr>
          <w:rFonts w:ascii="Arial" w:hAnsi="Arial" w:cs="Arial"/>
          <w:bCs/>
          <w:lang w:eastAsia="en-US"/>
        </w:rPr>
        <w:t xml:space="preserve"> have not returned the clerk’s calls.</w:t>
      </w:r>
    </w:p>
    <w:p w14:paraId="763F0AAB" w14:textId="746759AA" w:rsidR="00340161" w:rsidRDefault="00340161" w:rsidP="00340161">
      <w:pPr>
        <w:pStyle w:val="yiv1213045286ydp81b0388cyiv5729158960msonormal"/>
        <w:shd w:val="clear" w:color="auto" w:fill="FFFFFF"/>
        <w:spacing w:before="0" w:beforeAutospacing="0" w:after="120" w:afterAutospacing="0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Clerk contacted BT again regarding Ford </w:t>
      </w:r>
      <w:proofErr w:type="spellStart"/>
      <w:r>
        <w:rPr>
          <w:rFonts w:ascii="Arial" w:hAnsi="Arial" w:cs="Arial"/>
          <w:bCs/>
          <w:lang w:eastAsia="en-US"/>
        </w:rPr>
        <w:t>phonebox</w:t>
      </w:r>
      <w:proofErr w:type="spellEnd"/>
      <w:r w:rsidR="0023235E">
        <w:rPr>
          <w:rFonts w:ascii="Arial" w:hAnsi="Arial" w:cs="Arial"/>
          <w:bCs/>
          <w:lang w:eastAsia="en-US"/>
        </w:rPr>
        <w:t>.   Still n</w:t>
      </w:r>
      <w:r>
        <w:rPr>
          <w:rFonts w:ascii="Arial" w:hAnsi="Arial" w:cs="Arial"/>
          <w:bCs/>
          <w:lang w:eastAsia="en-US"/>
        </w:rPr>
        <w:t>o date available</w:t>
      </w:r>
      <w:r w:rsidR="0023235E">
        <w:rPr>
          <w:rFonts w:ascii="Arial" w:hAnsi="Arial" w:cs="Arial"/>
          <w:bCs/>
          <w:lang w:eastAsia="en-US"/>
        </w:rPr>
        <w:t xml:space="preserve"> but BT have confirmed the transfer and are removing the communication equipment.</w:t>
      </w:r>
      <w:r>
        <w:rPr>
          <w:rFonts w:ascii="Arial" w:hAnsi="Arial" w:cs="Arial"/>
          <w:bCs/>
          <w:lang w:eastAsia="en-US"/>
        </w:rPr>
        <w:t xml:space="preserve"> </w:t>
      </w:r>
    </w:p>
    <w:p w14:paraId="6B894336" w14:textId="731567DB" w:rsidR="00340161" w:rsidRDefault="00340161" w:rsidP="00340161">
      <w:pPr>
        <w:pStyle w:val="yiv1213045286ydp81b0388cyiv5729158960msonormal"/>
        <w:shd w:val="clear" w:color="auto" w:fill="FFFFFF"/>
        <w:spacing w:before="0" w:beforeAutospacing="0" w:after="120" w:afterAutospacing="0"/>
        <w:rPr>
          <w:rFonts w:ascii="Arial" w:hAnsi="Arial" w:cs="Arial"/>
          <w:bCs/>
          <w:lang w:eastAsia="en-US"/>
        </w:rPr>
      </w:pPr>
      <w:r w:rsidRPr="0049353E">
        <w:rPr>
          <w:rFonts w:ascii="Arial" w:hAnsi="Arial" w:cs="Arial"/>
          <w:bCs/>
          <w:lang w:eastAsia="en-US"/>
        </w:rPr>
        <w:t xml:space="preserve">Clerk contacted CDC planning enforcement several </w:t>
      </w:r>
      <w:proofErr w:type="gramStart"/>
      <w:r w:rsidRPr="0049353E">
        <w:rPr>
          <w:rFonts w:ascii="Arial" w:hAnsi="Arial" w:cs="Arial"/>
          <w:bCs/>
          <w:lang w:eastAsia="en-US"/>
        </w:rPr>
        <w:t>times</w:t>
      </w:r>
      <w:proofErr w:type="gramEnd"/>
      <w:r w:rsidRPr="0049353E">
        <w:rPr>
          <w:rFonts w:ascii="Arial" w:hAnsi="Arial" w:cs="Arial"/>
          <w:bCs/>
          <w:lang w:eastAsia="en-US"/>
        </w:rPr>
        <w:t xml:space="preserve"> but calls</w:t>
      </w:r>
      <w:r w:rsidR="00FE16BC" w:rsidRPr="0049353E">
        <w:rPr>
          <w:rFonts w:ascii="Arial" w:hAnsi="Arial" w:cs="Arial"/>
          <w:bCs/>
          <w:lang w:eastAsia="en-US"/>
        </w:rPr>
        <w:t xml:space="preserve"> </w:t>
      </w:r>
      <w:r w:rsidRPr="0049353E">
        <w:rPr>
          <w:rFonts w:ascii="Arial" w:hAnsi="Arial" w:cs="Arial"/>
          <w:bCs/>
          <w:lang w:eastAsia="en-US"/>
        </w:rPr>
        <w:t>have not been</w:t>
      </w:r>
      <w:r>
        <w:rPr>
          <w:rFonts w:ascii="Arial" w:hAnsi="Arial" w:cs="Arial"/>
          <w:bCs/>
          <w:lang w:eastAsia="en-US"/>
        </w:rPr>
        <w:t xml:space="preserve"> returned. </w:t>
      </w:r>
    </w:p>
    <w:p w14:paraId="173E2084" w14:textId="7C42C649" w:rsidR="00A04446" w:rsidRDefault="00A04446" w:rsidP="002206D6">
      <w:pPr>
        <w:pStyle w:val="yiv1213045286ydp81b0388cyiv5729158960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Clerk dealt with correspondence from parishioners concerning </w:t>
      </w:r>
      <w:r w:rsidR="00DA650F">
        <w:rPr>
          <w:rFonts w:ascii="Arial" w:hAnsi="Arial" w:cs="Arial"/>
          <w:bCs/>
          <w:lang w:eastAsia="en-US"/>
        </w:rPr>
        <w:t>issues with a local shoot and responsibility for maintenance of ash tree on a local bridleway.</w:t>
      </w:r>
      <w:r w:rsidR="006E55AF">
        <w:rPr>
          <w:rFonts w:ascii="Arial" w:hAnsi="Arial" w:cs="Arial"/>
          <w:bCs/>
          <w:lang w:eastAsia="en-US"/>
        </w:rPr>
        <w:t xml:space="preserve">  </w:t>
      </w:r>
    </w:p>
    <w:p w14:paraId="28BDD2CF" w14:textId="77777777" w:rsidR="002206D6" w:rsidRDefault="002206D6" w:rsidP="002206D6">
      <w:pPr>
        <w:pStyle w:val="yiv1213045286ydp81b0388cyiv5729158960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lang w:eastAsia="en-US"/>
        </w:rPr>
      </w:pPr>
    </w:p>
    <w:p w14:paraId="4F18DF85" w14:textId="7A27303B" w:rsidR="006E55AF" w:rsidRDefault="006E55AF" w:rsidP="00340161">
      <w:pPr>
        <w:pStyle w:val="yiv1213045286ydp81b0388cyiv5729158960msonormal"/>
        <w:shd w:val="clear" w:color="auto" w:fill="FFFFFF"/>
        <w:spacing w:before="0" w:beforeAutospacing="0" w:after="120" w:afterAutospacing="0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Clerk circulated a letter from another CDC parish council </w:t>
      </w:r>
      <w:r w:rsidR="00DA498A">
        <w:rPr>
          <w:rFonts w:ascii="Arial" w:hAnsi="Arial" w:cs="Arial"/>
          <w:bCs/>
          <w:lang w:eastAsia="en-US"/>
        </w:rPr>
        <w:t xml:space="preserve">to councillors, </w:t>
      </w:r>
      <w:r>
        <w:rPr>
          <w:rFonts w:ascii="Arial" w:hAnsi="Arial" w:cs="Arial"/>
          <w:bCs/>
          <w:lang w:eastAsia="en-US"/>
        </w:rPr>
        <w:t xml:space="preserve">which </w:t>
      </w:r>
      <w:r w:rsidR="009E1C75">
        <w:rPr>
          <w:rFonts w:ascii="Arial" w:hAnsi="Arial" w:cs="Arial"/>
          <w:bCs/>
          <w:lang w:eastAsia="en-US"/>
        </w:rPr>
        <w:t xml:space="preserve">noted that CDC was not receptive to comments from parish councils on </w:t>
      </w:r>
      <w:r w:rsidR="00DA498A">
        <w:rPr>
          <w:rFonts w:ascii="Arial" w:hAnsi="Arial" w:cs="Arial"/>
          <w:bCs/>
          <w:lang w:eastAsia="en-US"/>
        </w:rPr>
        <w:t xml:space="preserve">planning </w:t>
      </w:r>
      <w:r w:rsidR="009E1C75">
        <w:rPr>
          <w:rFonts w:ascii="Arial" w:hAnsi="Arial" w:cs="Arial"/>
          <w:bCs/>
          <w:lang w:eastAsia="en-US"/>
        </w:rPr>
        <w:t xml:space="preserve">applications.  Councillors decided to support the </w:t>
      </w:r>
      <w:r w:rsidR="00596768">
        <w:rPr>
          <w:rFonts w:ascii="Arial" w:hAnsi="Arial" w:cs="Arial"/>
          <w:bCs/>
          <w:lang w:eastAsia="en-US"/>
        </w:rPr>
        <w:t>letter, which has gained almost universal support across parish councils in CDC.</w:t>
      </w:r>
      <w:r w:rsidR="009E1C75">
        <w:rPr>
          <w:rFonts w:ascii="Arial" w:hAnsi="Arial" w:cs="Arial"/>
          <w:bCs/>
          <w:lang w:eastAsia="en-US"/>
        </w:rPr>
        <w:t xml:space="preserve"> </w:t>
      </w:r>
    </w:p>
    <w:p w14:paraId="4C724FBA" w14:textId="618CF004" w:rsidR="00BB15B3" w:rsidRDefault="00BB15B3" w:rsidP="00340161">
      <w:pPr>
        <w:pStyle w:val="yiv1213045286ydp81b0388cyiv5729158960msonormal"/>
        <w:shd w:val="clear" w:color="auto" w:fill="FFFFFF"/>
        <w:spacing w:before="0" w:beforeAutospacing="0" w:after="120" w:afterAutospacing="0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Clerk completed CIL (Community Infrastructure Levy) reporting for 2020/2021</w:t>
      </w:r>
      <w:r w:rsidR="008557B4">
        <w:rPr>
          <w:rFonts w:ascii="Arial" w:hAnsi="Arial" w:cs="Arial"/>
          <w:bCs/>
          <w:lang w:eastAsia="en-US"/>
        </w:rPr>
        <w:t xml:space="preserve"> for CDC.</w:t>
      </w:r>
    </w:p>
    <w:p w14:paraId="76E0BAAB" w14:textId="033F5F38" w:rsidR="008557B4" w:rsidRDefault="008557B4" w:rsidP="00340161">
      <w:pPr>
        <w:pStyle w:val="yiv1213045286ydp81b0388cyiv5729158960msonormal"/>
        <w:shd w:val="clear" w:color="auto" w:fill="FFFFFF"/>
        <w:spacing w:before="0" w:beforeAutospacing="0" w:after="120" w:afterAutospacing="0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Clerk completed VAT submission.</w:t>
      </w:r>
    </w:p>
    <w:p w14:paraId="2B075E12" w14:textId="6986E904" w:rsidR="00E408E8" w:rsidRDefault="00E408E8">
      <w:pPr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br w:type="page"/>
      </w:r>
    </w:p>
    <w:p w14:paraId="347FB44C" w14:textId="5FD063D3" w:rsidR="00564D78" w:rsidRPr="002D7D5C" w:rsidRDefault="00564D78" w:rsidP="004441AC">
      <w:pPr>
        <w:rPr>
          <w:rFonts w:ascii="Arial" w:hAnsi="Arial" w:cs="Arial"/>
          <w:b/>
          <w:sz w:val="24"/>
          <w:szCs w:val="24"/>
          <w:lang w:eastAsia="en-US"/>
        </w:rPr>
      </w:pPr>
      <w:r w:rsidRPr="002D7D5C">
        <w:rPr>
          <w:rFonts w:ascii="Arial" w:hAnsi="Arial" w:cs="Arial"/>
          <w:b/>
          <w:sz w:val="24"/>
          <w:szCs w:val="24"/>
          <w:lang w:eastAsia="en-US"/>
        </w:rPr>
        <w:lastRenderedPageBreak/>
        <w:t>Agenda item 1</w:t>
      </w:r>
      <w:r w:rsidR="002D7D5C" w:rsidRPr="002D7D5C">
        <w:rPr>
          <w:rFonts w:ascii="Arial" w:hAnsi="Arial" w:cs="Arial"/>
          <w:b/>
          <w:sz w:val="24"/>
          <w:szCs w:val="24"/>
          <w:lang w:eastAsia="en-US"/>
        </w:rPr>
        <w:t>0</w:t>
      </w:r>
      <w:r w:rsidRPr="002D7D5C">
        <w:rPr>
          <w:rFonts w:ascii="Arial" w:hAnsi="Arial" w:cs="Arial"/>
          <w:b/>
          <w:sz w:val="24"/>
          <w:szCs w:val="24"/>
          <w:lang w:eastAsia="en-US"/>
        </w:rPr>
        <w:t xml:space="preserve"> – 7</w:t>
      </w:r>
      <w:r w:rsidRPr="002D7D5C">
        <w:rPr>
          <w:rFonts w:ascii="Arial" w:hAnsi="Arial" w:cs="Arial"/>
          <w:b/>
          <w:sz w:val="24"/>
          <w:szCs w:val="24"/>
          <w:vertAlign w:val="superscript"/>
          <w:lang w:eastAsia="en-US"/>
        </w:rPr>
        <w:t>th</w:t>
      </w:r>
      <w:r w:rsidRPr="002D7D5C">
        <w:rPr>
          <w:rFonts w:ascii="Arial" w:hAnsi="Arial" w:cs="Arial"/>
          <w:b/>
          <w:sz w:val="24"/>
          <w:szCs w:val="24"/>
          <w:lang w:eastAsia="en-US"/>
        </w:rPr>
        <w:t xml:space="preserve"> July 2021</w:t>
      </w:r>
    </w:p>
    <w:p w14:paraId="499A422C" w14:textId="77777777" w:rsidR="008557B4" w:rsidRDefault="008557B4" w:rsidP="004441AC">
      <w:pPr>
        <w:rPr>
          <w:rFonts w:ascii="Arial" w:hAnsi="Arial" w:cs="Arial"/>
          <w:b/>
          <w:sz w:val="24"/>
          <w:szCs w:val="24"/>
          <w:lang w:eastAsia="en-US"/>
        </w:rPr>
      </w:pPr>
    </w:p>
    <w:p w14:paraId="3C1B7EF4" w14:textId="31349739" w:rsidR="004441AC" w:rsidRPr="002D7D5C" w:rsidRDefault="00F65B7A" w:rsidP="004441AC">
      <w:pPr>
        <w:rPr>
          <w:rFonts w:ascii="Arial" w:hAnsi="Arial" w:cs="Arial"/>
          <w:b/>
          <w:sz w:val="24"/>
          <w:szCs w:val="24"/>
          <w:lang w:eastAsia="en-US"/>
        </w:rPr>
      </w:pPr>
      <w:r w:rsidRPr="002D7D5C">
        <w:rPr>
          <w:rFonts w:ascii="Arial" w:hAnsi="Arial" w:cs="Arial"/>
          <w:b/>
          <w:sz w:val="24"/>
          <w:szCs w:val="24"/>
          <w:lang w:eastAsia="en-US"/>
        </w:rPr>
        <w:t>Dog waste bins</w:t>
      </w:r>
    </w:p>
    <w:p w14:paraId="342F618A" w14:textId="18BDC8CC" w:rsidR="00F65B7A" w:rsidRDefault="00F65B7A" w:rsidP="004441AC">
      <w:pPr>
        <w:rPr>
          <w:rFonts w:ascii="Arial" w:hAnsi="Arial" w:cs="Arial"/>
          <w:bCs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559"/>
        <w:gridCol w:w="3776"/>
      </w:tblGrid>
      <w:tr w:rsidR="00644DDE" w:rsidRPr="00644DDE" w14:paraId="55DBC12C" w14:textId="77777777" w:rsidTr="0097156E">
        <w:tc>
          <w:tcPr>
            <w:tcW w:w="1271" w:type="dxa"/>
          </w:tcPr>
          <w:p w14:paraId="3D67D118" w14:textId="3EE01B5D" w:rsidR="00644DDE" w:rsidRPr="00644DDE" w:rsidRDefault="00644DDE" w:rsidP="004441AC">
            <w:pPr>
              <w:rPr>
                <w:rFonts w:ascii="Arial" w:hAnsi="Arial" w:cs="Arial"/>
                <w:b/>
                <w:lang w:eastAsia="en-US"/>
              </w:rPr>
            </w:pPr>
            <w:r w:rsidRPr="00644DDE">
              <w:rPr>
                <w:rFonts w:ascii="Arial" w:hAnsi="Arial" w:cs="Arial"/>
                <w:b/>
                <w:lang w:eastAsia="en-US"/>
              </w:rPr>
              <w:t>Make</w:t>
            </w:r>
          </w:p>
        </w:tc>
        <w:tc>
          <w:tcPr>
            <w:tcW w:w="2410" w:type="dxa"/>
          </w:tcPr>
          <w:p w14:paraId="52CD5990" w14:textId="33BE570B" w:rsidR="00644DDE" w:rsidRPr="00644DDE" w:rsidRDefault="00644DDE" w:rsidP="004441AC">
            <w:pPr>
              <w:rPr>
                <w:rFonts w:ascii="Arial" w:hAnsi="Arial" w:cs="Arial"/>
                <w:b/>
                <w:lang w:eastAsia="en-US"/>
              </w:rPr>
            </w:pPr>
            <w:r w:rsidRPr="00644DDE">
              <w:rPr>
                <w:rFonts w:ascii="Arial" w:hAnsi="Arial" w:cs="Arial"/>
                <w:b/>
                <w:lang w:eastAsia="en-US"/>
              </w:rPr>
              <w:t>Features</w:t>
            </w:r>
          </w:p>
        </w:tc>
        <w:tc>
          <w:tcPr>
            <w:tcW w:w="1559" w:type="dxa"/>
          </w:tcPr>
          <w:p w14:paraId="2AF1CCF8" w14:textId="43B0BC4B" w:rsidR="00644DDE" w:rsidRPr="00644DDE" w:rsidRDefault="00644DDE" w:rsidP="004441AC">
            <w:pPr>
              <w:rPr>
                <w:rFonts w:ascii="Arial" w:hAnsi="Arial" w:cs="Arial"/>
                <w:b/>
                <w:lang w:eastAsia="en-US"/>
              </w:rPr>
            </w:pPr>
            <w:r w:rsidRPr="00644DDE">
              <w:rPr>
                <w:rFonts w:ascii="Arial" w:hAnsi="Arial" w:cs="Arial"/>
                <w:b/>
                <w:lang w:eastAsia="en-US"/>
              </w:rPr>
              <w:t xml:space="preserve">Price </w:t>
            </w:r>
            <w:proofErr w:type="spellStart"/>
            <w:r w:rsidRPr="00644DDE">
              <w:rPr>
                <w:rFonts w:ascii="Arial" w:hAnsi="Arial" w:cs="Arial"/>
                <w:b/>
                <w:lang w:eastAsia="en-US"/>
              </w:rPr>
              <w:t>inc</w:t>
            </w:r>
            <w:proofErr w:type="spellEnd"/>
            <w:r w:rsidRPr="00644DDE">
              <w:rPr>
                <w:rFonts w:ascii="Arial" w:hAnsi="Arial" w:cs="Arial"/>
                <w:b/>
                <w:lang w:eastAsia="en-US"/>
              </w:rPr>
              <w:t xml:space="preserve"> VAT </w:t>
            </w:r>
          </w:p>
        </w:tc>
        <w:tc>
          <w:tcPr>
            <w:tcW w:w="3776" w:type="dxa"/>
          </w:tcPr>
          <w:p w14:paraId="19510FE7" w14:textId="40A9D01F" w:rsidR="00644DDE" w:rsidRPr="00644DDE" w:rsidRDefault="00644DDE" w:rsidP="004441AC">
            <w:pPr>
              <w:rPr>
                <w:rFonts w:ascii="Arial" w:hAnsi="Arial" w:cs="Arial"/>
                <w:b/>
                <w:lang w:eastAsia="en-US"/>
              </w:rPr>
            </w:pPr>
            <w:r w:rsidRPr="00644DDE">
              <w:rPr>
                <w:rFonts w:ascii="Arial" w:hAnsi="Arial" w:cs="Arial"/>
                <w:b/>
                <w:lang w:eastAsia="en-US"/>
              </w:rPr>
              <w:t>Extras</w:t>
            </w:r>
          </w:p>
        </w:tc>
      </w:tr>
      <w:tr w:rsidR="00644DDE" w14:paraId="7418CEBE" w14:textId="77777777" w:rsidTr="0097156E">
        <w:tc>
          <w:tcPr>
            <w:tcW w:w="1271" w:type="dxa"/>
          </w:tcPr>
          <w:p w14:paraId="1D4D8FC6" w14:textId="74473BA4" w:rsidR="00644DDE" w:rsidRPr="005A45DC" w:rsidRDefault="0089701C" w:rsidP="004441AC">
            <w:pPr>
              <w:rPr>
                <w:rFonts w:ascii="Arial" w:hAnsi="Arial" w:cs="Arial"/>
                <w:b/>
                <w:lang w:eastAsia="en-US"/>
              </w:rPr>
            </w:pPr>
            <w:hyperlink r:id="rId9" w:history="1">
              <w:r w:rsidR="00644DDE" w:rsidRPr="005253EE">
                <w:rPr>
                  <w:rStyle w:val="Hyperlink"/>
                  <w:rFonts w:ascii="Arial" w:hAnsi="Arial" w:cs="Arial"/>
                  <w:b/>
                  <w:lang w:eastAsia="en-US"/>
                </w:rPr>
                <w:t>Glasdon</w:t>
              </w:r>
            </w:hyperlink>
            <w:r w:rsidR="005253EE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5253EE" w:rsidRPr="005253EE">
              <w:rPr>
                <w:rFonts w:ascii="Arial" w:hAnsi="Arial" w:cs="Arial"/>
                <w:bCs/>
                <w:lang w:eastAsia="en-US"/>
              </w:rPr>
              <w:t>(click for website)</w:t>
            </w:r>
            <w:r w:rsidR="005253EE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14:paraId="43915AF3" w14:textId="140C899F" w:rsidR="00644DDE" w:rsidRDefault="007D3EAB" w:rsidP="004441AC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Fido - </w:t>
            </w:r>
            <w:r w:rsidR="00644DDE">
              <w:rPr>
                <w:rFonts w:ascii="Arial" w:hAnsi="Arial" w:cs="Arial"/>
                <w:bCs/>
                <w:lang w:eastAsia="en-US"/>
              </w:rPr>
              <w:t xml:space="preserve">Red </w:t>
            </w:r>
            <w:r w:rsidR="008C44F6">
              <w:rPr>
                <w:rFonts w:ascii="Arial" w:hAnsi="Arial" w:cs="Arial"/>
                <w:bCs/>
                <w:lang w:eastAsia="en-US"/>
              </w:rPr>
              <w:t xml:space="preserve">or green </w:t>
            </w:r>
            <w:r w:rsidR="00644DDE">
              <w:rPr>
                <w:rFonts w:ascii="Arial" w:hAnsi="Arial" w:cs="Arial"/>
                <w:bCs/>
                <w:lang w:eastAsia="en-US"/>
              </w:rPr>
              <w:t>plastic, no chute</w:t>
            </w:r>
            <w:r>
              <w:rPr>
                <w:rFonts w:ascii="Arial" w:hAnsi="Arial" w:cs="Arial"/>
                <w:bCs/>
                <w:lang w:eastAsia="en-US"/>
              </w:rPr>
              <w:t xml:space="preserve">, </w:t>
            </w:r>
            <w:proofErr w:type="spellStart"/>
            <w:r w:rsidR="00836C84">
              <w:rPr>
                <w:rFonts w:ascii="Arial" w:hAnsi="Arial" w:cs="Arial"/>
                <w:bCs/>
                <w:lang w:eastAsia="en-US"/>
              </w:rPr>
              <w:t>self returning</w:t>
            </w:r>
            <w:proofErr w:type="spellEnd"/>
            <w:r w:rsidR="00836C84">
              <w:rPr>
                <w:rFonts w:ascii="Arial" w:hAnsi="Arial" w:cs="Arial"/>
                <w:bCs/>
                <w:lang w:eastAsia="en-US"/>
              </w:rPr>
              <w:t xml:space="preserve"> lid, plastic liner.  25 litres.</w:t>
            </w:r>
          </w:p>
        </w:tc>
        <w:tc>
          <w:tcPr>
            <w:tcW w:w="1559" w:type="dxa"/>
          </w:tcPr>
          <w:p w14:paraId="3A5AE2B6" w14:textId="04119980" w:rsidR="00644DDE" w:rsidRDefault="00754235" w:rsidP="004441AC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£</w:t>
            </w:r>
            <w:r w:rsidR="00644DDE">
              <w:rPr>
                <w:rFonts w:ascii="Arial" w:hAnsi="Arial" w:cs="Arial"/>
                <w:bCs/>
                <w:lang w:eastAsia="en-US"/>
              </w:rPr>
              <w:t>114.47</w:t>
            </w:r>
          </w:p>
        </w:tc>
        <w:tc>
          <w:tcPr>
            <w:tcW w:w="3776" w:type="dxa"/>
          </w:tcPr>
          <w:p w14:paraId="4BB83011" w14:textId="3EA2FAA0" w:rsidR="00644DDE" w:rsidRDefault="00644DDE" w:rsidP="004441AC">
            <w:pPr>
              <w:rPr>
                <w:rFonts w:ascii="Arial" w:hAnsi="Arial" w:cs="Arial"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lang w:eastAsia="en-US"/>
              </w:rPr>
              <w:t>Plus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 xml:space="preserve"> delivery</w:t>
            </w:r>
            <w:r w:rsidR="002E6470">
              <w:rPr>
                <w:rFonts w:ascii="Arial" w:hAnsi="Arial" w:cs="Arial"/>
                <w:bCs/>
                <w:lang w:eastAsia="en-US"/>
              </w:rPr>
              <w:t xml:space="preserve"> - £5.95</w:t>
            </w:r>
            <w:r w:rsidR="000610D8">
              <w:rPr>
                <w:rFonts w:ascii="Arial" w:hAnsi="Arial" w:cs="Arial"/>
                <w:bCs/>
                <w:lang w:eastAsia="en-US"/>
              </w:rPr>
              <w:t>.  Wall/post brackets for installation included.</w:t>
            </w:r>
            <w:r w:rsidR="00FA1F55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220BE1">
              <w:rPr>
                <w:rFonts w:ascii="Arial" w:hAnsi="Arial" w:cs="Arial"/>
                <w:bCs/>
                <w:lang w:eastAsia="en-US"/>
              </w:rPr>
              <w:t xml:space="preserve">Post </w:t>
            </w:r>
            <w:r w:rsidR="00322A0C">
              <w:rPr>
                <w:rFonts w:ascii="Arial" w:hAnsi="Arial" w:cs="Arial"/>
                <w:bCs/>
                <w:lang w:eastAsia="en-US"/>
              </w:rPr>
              <w:t xml:space="preserve">kit </w:t>
            </w:r>
            <w:r w:rsidR="00220BE1">
              <w:rPr>
                <w:rFonts w:ascii="Arial" w:hAnsi="Arial" w:cs="Arial"/>
                <w:bCs/>
                <w:lang w:eastAsia="en-US"/>
              </w:rPr>
              <w:t>- £44.28.</w:t>
            </w:r>
            <w:r w:rsidR="0054246D">
              <w:rPr>
                <w:rFonts w:ascii="Arial" w:hAnsi="Arial" w:cs="Arial"/>
                <w:bCs/>
                <w:lang w:eastAsia="en-US"/>
              </w:rPr>
              <w:t xml:space="preserve"> Lead time 2 – 5 days if in stock.  </w:t>
            </w:r>
            <w:r w:rsidR="00C94463">
              <w:rPr>
                <w:rFonts w:ascii="Arial" w:hAnsi="Arial" w:cs="Arial"/>
                <w:bCs/>
                <w:lang w:eastAsia="en-US"/>
              </w:rPr>
              <w:t>3 weeks if not.</w:t>
            </w:r>
          </w:p>
        </w:tc>
      </w:tr>
      <w:tr w:rsidR="00644DDE" w14:paraId="131066E1" w14:textId="77777777" w:rsidTr="0097156E">
        <w:tc>
          <w:tcPr>
            <w:tcW w:w="1271" w:type="dxa"/>
          </w:tcPr>
          <w:p w14:paraId="76C055AB" w14:textId="77777777" w:rsidR="00644DDE" w:rsidRDefault="00644DDE" w:rsidP="004441AC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410" w:type="dxa"/>
          </w:tcPr>
          <w:p w14:paraId="4BA36AB2" w14:textId="6FF4F2FF" w:rsidR="00644DDE" w:rsidRDefault="00B9658C" w:rsidP="004441AC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Fido - </w:t>
            </w:r>
            <w:r w:rsidR="008C44F6">
              <w:rPr>
                <w:rFonts w:ascii="Arial" w:hAnsi="Arial" w:cs="Arial"/>
                <w:bCs/>
                <w:lang w:eastAsia="en-US"/>
              </w:rPr>
              <w:t xml:space="preserve">Red or green </w:t>
            </w:r>
            <w:r w:rsidR="007800A1">
              <w:rPr>
                <w:rFonts w:ascii="Arial" w:hAnsi="Arial" w:cs="Arial"/>
                <w:bCs/>
                <w:lang w:eastAsia="en-US"/>
              </w:rPr>
              <w:t xml:space="preserve">coated </w:t>
            </w:r>
            <w:r w:rsidR="008C44F6">
              <w:rPr>
                <w:rFonts w:ascii="Arial" w:hAnsi="Arial" w:cs="Arial"/>
                <w:bCs/>
                <w:lang w:eastAsia="en-US"/>
              </w:rPr>
              <w:t>steel</w:t>
            </w:r>
            <w:r w:rsidR="00FA1F55">
              <w:rPr>
                <w:rFonts w:ascii="Arial" w:hAnsi="Arial" w:cs="Arial"/>
                <w:bCs/>
                <w:lang w:eastAsia="en-US"/>
              </w:rPr>
              <w:t xml:space="preserve">, </w:t>
            </w:r>
            <w:r w:rsidR="00061C75">
              <w:rPr>
                <w:rFonts w:ascii="Arial" w:hAnsi="Arial" w:cs="Arial"/>
                <w:bCs/>
                <w:lang w:eastAsia="en-US"/>
              </w:rPr>
              <w:t>steel liner, pivoting ‘stay’</w:t>
            </w:r>
            <w:r w:rsidR="00810F29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061C75">
              <w:rPr>
                <w:rFonts w:ascii="Arial" w:hAnsi="Arial" w:cs="Arial"/>
                <w:bCs/>
                <w:lang w:eastAsia="en-US"/>
              </w:rPr>
              <w:t>lid</w:t>
            </w:r>
            <w:r w:rsidR="00810F29">
              <w:rPr>
                <w:rFonts w:ascii="Arial" w:hAnsi="Arial" w:cs="Arial"/>
                <w:bCs/>
                <w:lang w:eastAsia="en-US"/>
              </w:rPr>
              <w:t>, 35 litres</w:t>
            </w:r>
          </w:p>
        </w:tc>
        <w:tc>
          <w:tcPr>
            <w:tcW w:w="1559" w:type="dxa"/>
          </w:tcPr>
          <w:p w14:paraId="574105F4" w14:textId="323A84D7" w:rsidR="00644DDE" w:rsidRDefault="00754235" w:rsidP="004441AC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£</w:t>
            </w:r>
            <w:r w:rsidR="008C44F6">
              <w:rPr>
                <w:rFonts w:ascii="Arial" w:hAnsi="Arial" w:cs="Arial"/>
                <w:bCs/>
                <w:lang w:eastAsia="en-US"/>
              </w:rPr>
              <w:t>242.</w:t>
            </w:r>
            <w:r w:rsidR="0097156E">
              <w:rPr>
                <w:rFonts w:ascii="Arial" w:hAnsi="Arial" w:cs="Arial"/>
                <w:bCs/>
                <w:lang w:eastAsia="en-US"/>
              </w:rPr>
              <w:t>39</w:t>
            </w:r>
          </w:p>
        </w:tc>
        <w:tc>
          <w:tcPr>
            <w:tcW w:w="3776" w:type="dxa"/>
          </w:tcPr>
          <w:p w14:paraId="748E52EE" w14:textId="050F1106" w:rsidR="00644DDE" w:rsidRDefault="0097156E" w:rsidP="004441AC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Inc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dely</w:t>
            </w:r>
            <w:proofErr w:type="spellEnd"/>
            <w:r w:rsidR="00D83035">
              <w:rPr>
                <w:rFonts w:ascii="Arial" w:hAnsi="Arial" w:cs="Arial"/>
                <w:bCs/>
                <w:lang w:eastAsia="en-US"/>
              </w:rPr>
              <w:t xml:space="preserve"> and wall </w:t>
            </w:r>
            <w:r w:rsidR="00754235">
              <w:rPr>
                <w:rFonts w:ascii="Arial" w:hAnsi="Arial" w:cs="Arial"/>
                <w:bCs/>
                <w:lang w:eastAsia="en-US"/>
              </w:rPr>
              <w:t>bracket</w:t>
            </w:r>
            <w:r w:rsidR="00D83035">
              <w:rPr>
                <w:rFonts w:ascii="Arial" w:hAnsi="Arial" w:cs="Arial"/>
                <w:bCs/>
                <w:lang w:eastAsia="en-US"/>
              </w:rPr>
              <w:t xml:space="preserve">. Post </w:t>
            </w:r>
            <w:r w:rsidR="0054246D">
              <w:rPr>
                <w:rFonts w:ascii="Arial" w:hAnsi="Arial" w:cs="Arial"/>
                <w:bCs/>
                <w:lang w:eastAsia="en-US"/>
              </w:rPr>
              <w:t>kit is £54.70</w:t>
            </w:r>
            <w:r w:rsidR="00C94463">
              <w:rPr>
                <w:rFonts w:ascii="Arial" w:hAnsi="Arial" w:cs="Arial"/>
                <w:bCs/>
                <w:lang w:eastAsia="en-US"/>
              </w:rPr>
              <w:t>. Lead time 2 – 5 days if in stock.  3 weeks if not.</w:t>
            </w:r>
          </w:p>
        </w:tc>
      </w:tr>
      <w:tr w:rsidR="00835500" w14:paraId="589BFA33" w14:textId="77777777" w:rsidTr="0097156E">
        <w:tc>
          <w:tcPr>
            <w:tcW w:w="1271" w:type="dxa"/>
          </w:tcPr>
          <w:p w14:paraId="0948F4E3" w14:textId="77777777" w:rsidR="00835500" w:rsidRDefault="00835500" w:rsidP="00835500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</w:tcPr>
          <w:p w14:paraId="4EE74E3A" w14:textId="5CE56A8F" w:rsidR="00835500" w:rsidRPr="003F1E20" w:rsidRDefault="00835500" w:rsidP="00835500">
            <w:pPr>
              <w:rPr>
                <w:rFonts w:ascii="Arial" w:hAnsi="Arial" w:cs="Arial"/>
                <w:bCs/>
                <w:lang w:eastAsia="en-US"/>
              </w:rPr>
            </w:pPr>
            <w:r w:rsidRPr="003F1E20">
              <w:rPr>
                <w:rFonts w:ascii="Arial" w:hAnsi="Arial" w:cs="Arial"/>
                <w:bCs/>
                <w:lang w:eastAsia="en-US"/>
              </w:rPr>
              <w:t xml:space="preserve">Retriever </w:t>
            </w:r>
            <w:r w:rsidR="00544BF5">
              <w:rPr>
                <w:rFonts w:ascii="Arial" w:hAnsi="Arial" w:cs="Arial"/>
                <w:bCs/>
                <w:lang w:eastAsia="en-US"/>
              </w:rPr>
              <w:t xml:space="preserve">35 </w:t>
            </w:r>
            <w:r w:rsidRPr="003F1E20">
              <w:rPr>
                <w:rFonts w:ascii="Arial" w:hAnsi="Arial" w:cs="Arial"/>
                <w:bCs/>
                <w:lang w:eastAsia="en-US"/>
              </w:rPr>
              <w:t xml:space="preserve">– red/green plastic body, metal chute and backbone, ‘Dog Waste only’ sticker, </w:t>
            </w:r>
            <w:r w:rsidR="009C7512">
              <w:rPr>
                <w:rFonts w:ascii="Arial" w:hAnsi="Arial" w:cs="Arial"/>
                <w:bCs/>
                <w:lang w:eastAsia="en-US"/>
              </w:rPr>
              <w:t xml:space="preserve">lock, </w:t>
            </w:r>
            <w:r w:rsidR="008136DA" w:rsidRPr="003F1E20">
              <w:rPr>
                <w:rFonts w:ascii="Arial" w:hAnsi="Arial" w:cs="Arial"/>
                <w:bCs/>
                <w:lang w:eastAsia="en-US"/>
              </w:rPr>
              <w:t xml:space="preserve">35 </w:t>
            </w:r>
            <w:r w:rsidRPr="003F1E20">
              <w:rPr>
                <w:rFonts w:ascii="Arial" w:hAnsi="Arial" w:cs="Arial"/>
                <w:bCs/>
                <w:lang w:eastAsia="en-US"/>
              </w:rPr>
              <w:t>litres</w:t>
            </w:r>
          </w:p>
        </w:tc>
        <w:tc>
          <w:tcPr>
            <w:tcW w:w="1559" w:type="dxa"/>
          </w:tcPr>
          <w:p w14:paraId="1AB0F5E4" w14:textId="0D4B4B63" w:rsidR="00835500" w:rsidRPr="003F1E20" w:rsidRDefault="00835500" w:rsidP="00835500">
            <w:pPr>
              <w:rPr>
                <w:rFonts w:ascii="Arial" w:hAnsi="Arial" w:cs="Arial"/>
                <w:bCs/>
                <w:lang w:eastAsia="en-US"/>
              </w:rPr>
            </w:pPr>
            <w:r w:rsidRPr="003F1E20">
              <w:rPr>
                <w:rFonts w:ascii="Arial" w:hAnsi="Arial" w:cs="Arial"/>
                <w:bCs/>
                <w:lang w:eastAsia="en-US"/>
              </w:rPr>
              <w:t>£257.90</w:t>
            </w:r>
          </w:p>
        </w:tc>
        <w:tc>
          <w:tcPr>
            <w:tcW w:w="3776" w:type="dxa"/>
          </w:tcPr>
          <w:p w14:paraId="11D5F81C" w14:textId="3138D30F" w:rsidR="00835500" w:rsidRDefault="00835500" w:rsidP="00835500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Inc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dely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and wall/</w:t>
            </w:r>
            <w:r w:rsidR="003F1E20">
              <w:rPr>
                <w:rFonts w:ascii="Arial" w:hAnsi="Arial" w:cs="Arial"/>
                <w:bCs/>
                <w:lang w:eastAsia="en-US"/>
              </w:rPr>
              <w:t>post</w:t>
            </w:r>
            <w:r>
              <w:rPr>
                <w:rFonts w:ascii="Arial" w:hAnsi="Arial" w:cs="Arial"/>
                <w:bCs/>
                <w:lang w:eastAsia="en-US"/>
              </w:rPr>
              <w:t xml:space="preserve"> brackets. Post kit </w:t>
            </w:r>
            <w:r w:rsidR="001E6104">
              <w:rPr>
                <w:rFonts w:ascii="Arial" w:hAnsi="Arial" w:cs="Arial"/>
                <w:bCs/>
                <w:lang w:eastAsia="en-US"/>
              </w:rPr>
              <w:t>£113.21</w:t>
            </w:r>
            <w:r>
              <w:rPr>
                <w:rFonts w:ascii="Arial" w:hAnsi="Arial" w:cs="Arial"/>
                <w:bCs/>
                <w:lang w:eastAsia="en-US"/>
              </w:rPr>
              <w:t>. Lead time 2 – 5 days if in stock.  3 weeks if not.</w:t>
            </w:r>
          </w:p>
        </w:tc>
      </w:tr>
      <w:tr w:rsidR="00A91AFE" w14:paraId="77996EFF" w14:textId="77777777" w:rsidTr="0097156E">
        <w:tc>
          <w:tcPr>
            <w:tcW w:w="1271" w:type="dxa"/>
          </w:tcPr>
          <w:p w14:paraId="73CF8ABE" w14:textId="77777777" w:rsidR="00A91AFE" w:rsidRDefault="00A91AFE" w:rsidP="00A91AFE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</w:tcPr>
          <w:p w14:paraId="7C0A8079" w14:textId="13221A07" w:rsidR="00A91AFE" w:rsidRPr="003F1E20" w:rsidRDefault="00A91AFE" w:rsidP="00A91AFE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Retriever 50 – as above, with options for steel or plastic chute, Options for liner, 50 litres</w:t>
            </w:r>
          </w:p>
        </w:tc>
        <w:tc>
          <w:tcPr>
            <w:tcW w:w="1559" w:type="dxa"/>
          </w:tcPr>
          <w:p w14:paraId="39EFA010" w14:textId="71CA1EB0" w:rsidR="00A91AFE" w:rsidRPr="003F1E20" w:rsidRDefault="00A91AFE" w:rsidP="00A91AFE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£300.60</w:t>
            </w:r>
          </w:p>
        </w:tc>
        <w:tc>
          <w:tcPr>
            <w:tcW w:w="3776" w:type="dxa"/>
          </w:tcPr>
          <w:p w14:paraId="38DC5443" w14:textId="1063215B" w:rsidR="00A91AFE" w:rsidRDefault="00A91AFE" w:rsidP="00A91AFE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Inc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dely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and post brackets. Wall </w:t>
            </w:r>
            <w:r w:rsidR="00EE5B80">
              <w:rPr>
                <w:rFonts w:ascii="Arial" w:hAnsi="Arial" w:cs="Arial"/>
                <w:bCs/>
                <w:lang w:eastAsia="en-US"/>
              </w:rPr>
              <w:t>kit £5.61.  P</w:t>
            </w:r>
            <w:r>
              <w:rPr>
                <w:rFonts w:ascii="Arial" w:hAnsi="Arial" w:cs="Arial"/>
                <w:bCs/>
                <w:lang w:eastAsia="en-US"/>
              </w:rPr>
              <w:t>ost kit £11</w:t>
            </w:r>
            <w:r w:rsidR="00EE5B80">
              <w:rPr>
                <w:rFonts w:ascii="Arial" w:hAnsi="Arial" w:cs="Arial"/>
                <w:bCs/>
                <w:lang w:eastAsia="en-US"/>
              </w:rPr>
              <w:t>9.06</w:t>
            </w:r>
            <w:r>
              <w:rPr>
                <w:rFonts w:ascii="Arial" w:hAnsi="Arial" w:cs="Arial"/>
                <w:bCs/>
                <w:lang w:eastAsia="en-US"/>
              </w:rPr>
              <w:t>. Lead time 2 – 5 days if in stock.  3 weeks if not.</w:t>
            </w:r>
          </w:p>
        </w:tc>
      </w:tr>
      <w:tr w:rsidR="00A91AFE" w14:paraId="687E62C0" w14:textId="77777777" w:rsidTr="0097156E">
        <w:tc>
          <w:tcPr>
            <w:tcW w:w="1271" w:type="dxa"/>
          </w:tcPr>
          <w:p w14:paraId="7747874C" w14:textId="0B6791A7" w:rsidR="00A91AFE" w:rsidRPr="005A45DC" w:rsidRDefault="0089701C" w:rsidP="00A91AFE">
            <w:pPr>
              <w:rPr>
                <w:rFonts w:ascii="Arial" w:hAnsi="Arial" w:cs="Arial"/>
                <w:b/>
                <w:lang w:eastAsia="en-US"/>
              </w:rPr>
            </w:pPr>
            <w:hyperlink r:id="rId10" w:history="1">
              <w:r w:rsidR="00A91AFE" w:rsidRPr="005D1FCB">
                <w:rPr>
                  <w:rStyle w:val="Hyperlink"/>
                  <w:rFonts w:ascii="Arial" w:hAnsi="Arial" w:cs="Arial"/>
                  <w:b/>
                  <w:lang w:eastAsia="en-US"/>
                </w:rPr>
                <w:t>Bin Shop</w:t>
              </w:r>
            </w:hyperlink>
            <w:r w:rsidR="00A91AFE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A91AFE" w:rsidRPr="005D1FCB">
              <w:rPr>
                <w:rFonts w:ascii="Arial" w:hAnsi="Arial" w:cs="Arial"/>
                <w:bCs/>
                <w:lang w:eastAsia="en-US"/>
              </w:rPr>
              <w:t>(click for website)</w:t>
            </w:r>
          </w:p>
        </w:tc>
        <w:tc>
          <w:tcPr>
            <w:tcW w:w="2410" w:type="dxa"/>
          </w:tcPr>
          <w:p w14:paraId="0E1E6C58" w14:textId="668EB90F" w:rsidR="00A91AFE" w:rsidRDefault="00A91AFE" w:rsidP="00A91AFE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Red, green or black galvanised steel, with 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chute,  60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 xml:space="preserve"> litres</w:t>
            </w:r>
          </w:p>
        </w:tc>
        <w:tc>
          <w:tcPr>
            <w:tcW w:w="1559" w:type="dxa"/>
          </w:tcPr>
          <w:p w14:paraId="402F17A7" w14:textId="39C6937F" w:rsidR="00A91AFE" w:rsidRDefault="00A91AFE" w:rsidP="00A91AFE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£191.99</w:t>
            </w:r>
          </w:p>
        </w:tc>
        <w:tc>
          <w:tcPr>
            <w:tcW w:w="3776" w:type="dxa"/>
          </w:tcPr>
          <w:p w14:paraId="69AB3789" w14:textId="04DB04DC" w:rsidR="00A91AFE" w:rsidRDefault="00A91AFE" w:rsidP="00A91AFE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Inc dely.  Includes brackets for post fixing. Post £55 (concrete in). 6 – 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8 week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 xml:space="preserve"> lead time.</w:t>
            </w:r>
          </w:p>
        </w:tc>
      </w:tr>
      <w:tr w:rsidR="00A91AFE" w14:paraId="159E954E" w14:textId="77777777" w:rsidTr="0097156E">
        <w:tc>
          <w:tcPr>
            <w:tcW w:w="1271" w:type="dxa"/>
          </w:tcPr>
          <w:p w14:paraId="76858AEF" w14:textId="77777777" w:rsidR="00A91AFE" w:rsidRDefault="00A91AFE" w:rsidP="00A91AFE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410" w:type="dxa"/>
          </w:tcPr>
          <w:p w14:paraId="7C2FDAF9" w14:textId="1FC41588" w:rsidR="00A91AFE" w:rsidRPr="00954DFD" w:rsidRDefault="00A91AFE" w:rsidP="00A91AFE">
            <w:pPr>
              <w:rPr>
                <w:rFonts w:ascii="Arial" w:hAnsi="Arial" w:cs="Arial"/>
                <w:bCs/>
                <w:highlight w:val="yellow"/>
                <w:lang w:eastAsia="en-US"/>
              </w:rPr>
            </w:pPr>
            <w:proofErr w:type="spellStart"/>
            <w:r w:rsidRPr="00954DFD">
              <w:rPr>
                <w:rFonts w:ascii="Arial" w:hAnsi="Arial" w:cs="Arial"/>
                <w:bCs/>
                <w:highlight w:val="yellow"/>
                <w:lang w:eastAsia="en-US"/>
              </w:rPr>
              <w:t>Doggybin</w:t>
            </w:r>
            <w:proofErr w:type="spellEnd"/>
            <w:r w:rsidRPr="00954DFD">
              <w:rPr>
                <w:rFonts w:ascii="Arial" w:hAnsi="Arial" w:cs="Arial"/>
                <w:bCs/>
                <w:highlight w:val="yellow"/>
                <w:lang w:eastAsia="en-US"/>
              </w:rPr>
              <w:t xml:space="preserve"> – plastic steel liner, </w:t>
            </w:r>
            <w:proofErr w:type="spellStart"/>
            <w:r w:rsidRPr="00954DFD">
              <w:rPr>
                <w:rFonts w:ascii="Arial" w:hAnsi="Arial" w:cs="Arial"/>
                <w:bCs/>
                <w:highlight w:val="yellow"/>
                <w:lang w:eastAsia="en-US"/>
              </w:rPr>
              <w:t>self closing</w:t>
            </w:r>
            <w:proofErr w:type="spellEnd"/>
            <w:r w:rsidRPr="00954DFD">
              <w:rPr>
                <w:rFonts w:ascii="Arial" w:hAnsi="Arial" w:cs="Arial"/>
                <w:bCs/>
                <w:highlight w:val="yellow"/>
                <w:lang w:eastAsia="en-US"/>
              </w:rPr>
              <w:t xml:space="preserve"> lid, deodorising block, 40 litres, 9 colours,</w:t>
            </w:r>
          </w:p>
        </w:tc>
        <w:tc>
          <w:tcPr>
            <w:tcW w:w="1559" w:type="dxa"/>
          </w:tcPr>
          <w:p w14:paraId="52F06EE1" w14:textId="556D3D03" w:rsidR="00A91AFE" w:rsidRDefault="00A91AFE" w:rsidP="00A91AFE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£154.45</w:t>
            </w:r>
          </w:p>
        </w:tc>
        <w:tc>
          <w:tcPr>
            <w:tcW w:w="3776" w:type="dxa"/>
          </w:tcPr>
          <w:p w14:paraId="22892BC4" w14:textId="44BD51B7" w:rsidR="00A91AFE" w:rsidRDefault="00A91AFE" w:rsidP="00A91AFE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Plus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dely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£16.50.  Post and wall fixings included.  Post £99 (concrete in).  Jubilee clips £5.34. Lead time </w:t>
            </w:r>
          </w:p>
          <w:p w14:paraId="6CDA8148" w14:textId="2DF4AE73" w:rsidR="00A91AFE" w:rsidRDefault="00A91AFE" w:rsidP="00A91AFE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4 weeks.</w:t>
            </w:r>
          </w:p>
        </w:tc>
      </w:tr>
      <w:tr w:rsidR="00A91AFE" w14:paraId="06E079EF" w14:textId="77777777" w:rsidTr="0097156E">
        <w:tc>
          <w:tcPr>
            <w:tcW w:w="1271" w:type="dxa"/>
          </w:tcPr>
          <w:p w14:paraId="4235FB3E" w14:textId="77777777" w:rsidR="00A91AFE" w:rsidRDefault="00A91AFE" w:rsidP="00A91AFE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410" w:type="dxa"/>
          </w:tcPr>
          <w:p w14:paraId="2BF4613A" w14:textId="7F5691C8" w:rsidR="00A91AFE" w:rsidRDefault="00A91AFE" w:rsidP="00A91AFE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Standard bin – red/green plastic, plastic liner, 35 litres.  </w:t>
            </w:r>
          </w:p>
        </w:tc>
        <w:tc>
          <w:tcPr>
            <w:tcW w:w="1559" w:type="dxa"/>
          </w:tcPr>
          <w:p w14:paraId="5942B088" w14:textId="45F3BB6E" w:rsidR="00A91AFE" w:rsidRDefault="00A91AFE" w:rsidP="00A91AFE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£166.39</w:t>
            </w:r>
          </w:p>
        </w:tc>
        <w:tc>
          <w:tcPr>
            <w:tcW w:w="3776" w:type="dxa"/>
          </w:tcPr>
          <w:p w14:paraId="6E7B2FAA" w14:textId="1C9318B8" w:rsidR="00A91AFE" w:rsidRDefault="00A91AFE" w:rsidP="00A91AFE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Inc dely.  Post £188.66 (concrete in). </w:t>
            </w:r>
          </w:p>
        </w:tc>
      </w:tr>
      <w:tr w:rsidR="00A91AFE" w14:paraId="3971DD53" w14:textId="77777777" w:rsidTr="0097156E">
        <w:tc>
          <w:tcPr>
            <w:tcW w:w="1271" w:type="dxa"/>
          </w:tcPr>
          <w:p w14:paraId="651A6025" w14:textId="5D4A192C" w:rsidR="00A91AFE" w:rsidRPr="005A45DC" w:rsidRDefault="0089701C" w:rsidP="00A91AFE">
            <w:pPr>
              <w:rPr>
                <w:rFonts w:ascii="Arial" w:hAnsi="Arial" w:cs="Arial"/>
                <w:b/>
                <w:lang w:eastAsia="en-US"/>
              </w:rPr>
            </w:pPr>
            <w:hyperlink r:id="rId11" w:history="1">
              <w:r w:rsidR="00A91AFE" w:rsidRPr="00597DE4">
                <w:rPr>
                  <w:rStyle w:val="Hyperlink"/>
                  <w:rFonts w:ascii="Arial" w:hAnsi="Arial" w:cs="Arial"/>
                  <w:b/>
                  <w:lang w:eastAsia="en-US"/>
                </w:rPr>
                <w:t>JRB</w:t>
              </w:r>
            </w:hyperlink>
            <w:r w:rsidR="00597DE4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597DE4" w:rsidRPr="00597DE4">
              <w:rPr>
                <w:rFonts w:ascii="Arial" w:hAnsi="Arial" w:cs="Arial"/>
                <w:bCs/>
                <w:lang w:eastAsia="en-US"/>
              </w:rPr>
              <w:t>(click for website)</w:t>
            </w:r>
          </w:p>
        </w:tc>
        <w:tc>
          <w:tcPr>
            <w:tcW w:w="2410" w:type="dxa"/>
          </w:tcPr>
          <w:p w14:paraId="3FE74DE6" w14:textId="4DBCEC8F" w:rsidR="00A91AFE" w:rsidRDefault="00013937" w:rsidP="00A91AFE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Hercules - </w:t>
            </w:r>
            <w:r w:rsidR="00A91AFE">
              <w:rPr>
                <w:rFonts w:ascii="Arial" w:hAnsi="Arial" w:cs="Arial"/>
                <w:bCs/>
                <w:lang w:eastAsia="en-US"/>
              </w:rPr>
              <w:t>Red or green</w:t>
            </w:r>
            <w:r w:rsidR="00416648">
              <w:rPr>
                <w:rFonts w:ascii="Arial" w:hAnsi="Arial" w:cs="Arial"/>
                <w:bCs/>
                <w:lang w:eastAsia="en-US"/>
              </w:rPr>
              <w:t>,</w:t>
            </w:r>
            <w:r w:rsidR="00A91AFE">
              <w:rPr>
                <w:rFonts w:ascii="Arial" w:hAnsi="Arial" w:cs="Arial"/>
                <w:bCs/>
                <w:lang w:eastAsia="en-US"/>
              </w:rPr>
              <w:t xml:space="preserve"> steel</w:t>
            </w:r>
            <w:r w:rsidR="00416648">
              <w:rPr>
                <w:rFonts w:ascii="Arial" w:hAnsi="Arial" w:cs="Arial"/>
                <w:bCs/>
                <w:lang w:eastAsia="en-US"/>
              </w:rPr>
              <w:t xml:space="preserve"> body and liner</w:t>
            </w:r>
            <w:r w:rsidR="00A91AFE">
              <w:rPr>
                <w:rFonts w:ascii="Arial" w:hAnsi="Arial" w:cs="Arial"/>
                <w:bCs/>
                <w:lang w:eastAsia="en-US"/>
              </w:rPr>
              <w:t>, 50 litres.</w:t>
            </w:r>
          </w:p>
        </w:tc>
        <w:tc>
          <w:tcPr>
            <w:tcW w:w="1559" w:type="dxa"/>
          </w:tcPr>
          <w:p w14:paraId="27A43DF5" w14:textId="035AE20E" w:rsidR="00A91AFE" w:rsidRDefault="00A91AFE" w:rsidP="00A91AFE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£208.80</w:t>
            </w:r>
          </w:p>
        </w:tc>
        <w:tc>
          <w:tcPr>
            <w:tcW w:w="3776" w:type="dxa"/>
          </w:tcPr>
          <w:p w14:paraId="62E9ABD4" w14:textId="4249F06B" w:rsidR="00A91AFE" w:rsidRDefault="004E0D95" w:rsidP="00251AC2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Plus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dely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£14 or £8.50 without post. Inc </w:t>
            </w:r>
            <w:r w:rsidR="00846FEA">
              <w:rPr>
                <w:rFonts w:ascii="Arial" w:hAnsi="Arial" w:cs="Arial"/>
                <w:bCs/>
                <w:lang w:eastAsia="en-US"/>
              </w:rPr>
              <w:t xml:space="preserve">galvanised </w:t>
            </w:r>
            <w:r w:rsidR="00416648">
              <w:rPr>
                <w:rFonts w:ascii="Arial" w:hAnsi="Arial" w:cs="Arial"/>
                <w:bCs/>
                <w:lang w:eastAsia="en-US"/>
              </w:rPr>
              <w:t xml:space="preserve">post and fixings.  </w:t>
            </w:r>
            <w:r w:rsidR="00107A52">
              <w:rPr>
                <w:rFonts w:ascii="Arial" w:hAnsi="Arial" w:cs="Arial"/>
                <w:bCs/>
                <w:lang w:eastAsia="en-US"/>
              </w:rPr>
              <w:t>Concrete in</w:t>
            </w:r>
            <w:r w:rsidR="00E56737">
              <w:rPr>
                <w:rFonts w:ascii="Arial" w:hAnsi="Arial" w:cs="Arial"/>
                <w:bCs/>
                <w:lang w:eastAsia="en-US"/>
              </w:rPr>
              <w:t xml:space="preserve">. </w:t>
            </w:r>
            <w:r w:rsidR="00DF18D9">
              <w:rPr>
                <w:rFonts w:ascii="Arial" w:hAnsi="Arial" w:cs="Arial"/>
                <w:bCs/>
                <w:lang w:eastAsia="en-US"/>
              </w:rPr>
              <w:t>C</w:t>
            </w:r>
            <w:r w:rsidR="00E56737">
              <w:rPr>
                <w:rFonts w:ascii="Arial" w:hAnsi="Arial" w:cs="Arial"/>
                <w:bCs/>
                <w:lang w:eastAsia="en-US"/>
              </w:rPr>
              <w:t xml:space="preserve">ut post to size. </w:t>
            </w:r>
            <w:proofErr w:type="gramStart"/>
            <w:r w:rsidR="00E56737">
              <w:rPr>
                <w:rFonts w:ascii="Arial" w:hAnsi="Arial" w:cs="Arial"/>
                <w:bCs/>
                <w:lang w:eastAsia="en-US"/>
              </w:rPr>
              <w:t>Can’t</w:t>
            </w:r>
            <w:proofErr w:type="gramEnd"/>
            <w:r w:rsidR="00E56737">
              <w:rPr>
                <w:rFonts w:ascii="Arial" w:hAnsi="Arial" w:cs="Arial"/>
                <w:bCs/>
                <w:lang w:eastAsia="en-US"/>
              </w:rPr>
              <w:t xml:space="preserve"> fix to wall</w:t>
            </w:r>
            <w:r w:rsidR="00AF001A">
              <w:rPr>
                <w:rFonts w:ascii="Arial" w:hAnsi="Arial" w:cs="Arial"/>
                <w:bCs/>
                <w:lang w:eastAsia="en-US"/>
              </w:rPr>
              <w:t xml:space="preserve"> direct</w:t>
            </w:r>
            <w:r w:rsidR="00365867">
              <w:rPr>
                <w:rFonts w:ascii="Arial" w:hAnsi="Arial" w:cs="Arial"/>
                <w:bCs/>
                <w:lang w:eastAsia="en-US"/>
              </w:rPr>
              <w:t xml:space="preserve"> needs </w:t>
            </w:r>
            <w:r w:rsidR="00AF001A">
              <w:rPr>
                <w:rFonts w:ascii="Arial" w:hAnsi="Arial" w:cs="Arial"/>
                <w:bCs/>
                <w:lang w:eastAsia="en-US"/>
              </w:rPr>
              <w:t>wooden backing</w:t>
            </w:r>
            <w:r w:rsidR="00251AC2">
              <w:rPr>
                <w:rFonts w:ascii="Arial" w:hAnsi="Arial" w:cs="Arial"/>
                <w:bCs/>
                <w:lang w:eastAsia="en-US"/>
              </w:rPr>
              <w:t xml:space="preserve">. Refund of </w:t>
            </w:r>
            <w:r w:rsidR="00AF001A">
              <w:rPr>
                <w:rFonts w:ascii="Arial" w:hAnsi="Arial" w:cs="Arial"/>
                <w:bCs/>
                <w:lang w:eastAsia="en-US"/>
              </w:rPr>
              <w:t>£28</w:t>
            </w:r>
            <w:r w:rsidR="00251AC2">
              <w:rPr>
                <w:rFonts w:ascii="Arial" w:hAnsi="Arial" w:cs="Arial"/>
                <w:bCs/>
                <w:lang w:eastAsia="en-US"/>
              </w:rPr>
              <w:t xml:space="preserve"> if post not required. </w:t>
            </w:r>
            <w:r w:rsidR="00641E2E">
              <w:rPr>
                <w:rFonts w:ascii="Arial" w:hAnsi="Arial" w:cs="Arial"/>
                <w:bCs/>
                <w:lang w:eastAsia="en-US"/>
              </w:rPr>
              <w:t xml:space="preserve"> Plenty in stock.</w:t>
            </w:r>
          </w:p>
        </w:tc>
      </w:tr>
      <w:tr w:rsidR="00A91AFE" w14:paraId="5C1BE98C" w14:textId="77777777" w:rsidTr="0097156E">
        <w:tc>
          <w:tcPr>
            <w:tcW w:w="1271" w:type="dxa"/>
          </w:tcPr>
          <w:p w14:paraId="01152DA0" w14:textId="77777777" w:rsidR="00A91AFE" w:rsidRDefault="00A91AFE" w:rsidP="00A91AFE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410" w:type="dxa"/>
          </w:tcPr>
          <w:p w14:paraId="2483F525" w14:textId="24574773" w:rsidR="00A91AFE" w:rsidRDefault="00013937" w:rsidP="00A91AFE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Gladiator - </w:t>
            </w:r>
            <w:r w:rsidR="00A91AFE">
              <w:rPr>
                <w:rFonts w:ascii="Arial" w:hAnsi="Arial" w:cs="Arial"/>
                <w:bCs/>
                <w:lang w:eastAsia="en-US"/>
              </w:rPr>
              <w:t>Red or green</w:t>
            </w:r>
            <w:r>
              <w:rPr>
                <w:rFonts w:ascii="Arial" w:hAnsi="Arial" w:cs="Arial"/>
                <w:bCs/>
                <w:lang w:eastAsia="en-US"/>
              </w:rPr>
              <w:t>,</w:t>
            </w:r>
            <w:r w:rsidR="00A91AFE">
              <w:rPr>
                <w:rFonts w:ascii="Arial" w:hAnsi="Arial" w:cs="Arial"/>
                <w:bCs/>
                <w:lang w:eastAsia="en-US"/>
              </w:rPr>
              <w:t xml:space="preserve"> steel </w:t>
            </w:r>
            <w:r>
              <w:rPr>
                <w:rFonts w:ascii="Arial" w:hAnsi="Arial" w:cs="Arial"/>
                <w:bCs/>
                <w:lang w:eastAsia="en-US"/>
              </w:rPr>
              <w:t xml:space="preserve">body and liner, </w:t>
            </w:r>
            <w:r w:rsidR="00E92FF5">
              <w:rPr>
                <w:rFonts w:ascii="Arial" w:hAnsi="Arial" w:cs="Arial"/>
                <w:bCs/>
                <w:lang w:eastAsia="en-US"/>
              </w:rPr>
              <w:t xml:space="preserve">lock, </w:t>
            </w:r>
            <w:proofErr w:type="spellStart"/>
            <w:r w:rsidR="00C9232C">
              <w:rPr>
                <w:rFonts w:ascii="Arial" w:hAnsi="Arial" w:cs="Arial"/>
                <w:bCs/>
                <w:lang w:eastAsia="en-US"/>
              </w:rPr>
              <w:t>anti firework</w:t>
            </w:r>
            <w:proofErr w:type="spellEnd"/>
            <w:r w:rsidR="00C9232C">
              <w:rPr>
                <w:rFonts w:ascii="Arial" w:hAnsi="Arial" w:cs="Arial"/>
                <w:bCs/>
                <w:lang w:eastAsia="en-US"/>
              </w:rPr>
              <w:t xml:space="preserve">, </w:t>
            </w:r>
            <w:r w:rsidR="00A91AFE">
              <w:rPr>
                <w:rFonts w:ascii="Arial" w:hAnsi="Arial" w:cs="Arial"/>
                <w:bCs/>
                <w:lang w:eastAsia="en-US"/>
              </w:rPr>
              <w:t>with chute</w:t>
            </w:r>
            <w:r>
              <w:rPr>
                <w:rFonts w:ascii="Arial" w:hAnsi="Arial" w:cs="Arial"/>
                <w:bCs/>
                <w:lang w:eastAsia="en-US"/>
              </w:rPr>
              <w:t>, front opening</w:t>
            </w:r>
            <w:r w:rsidR="00DB0DAF">
              <w:rPr>
                <w:rFonts w:ascii="Arial" w:hAnsi="Arial" w:cs="Arial"/>
                <w:bCs/>
                <w:lang w:eastAsia="en-US"/>
              </w:rPr>
              <w:t xml:space="preserve">, </w:t>
            </w:r>
            <w:r w:rsidR="001E48D5">
              <w:rPr>
                <w:rFonts w:ascii="Arial" w:hAnsi="Arial" w:cs="Arial"/>
                <w:bCs/>
                <w:lang w:eastAsia="en-US"/>
              </w:rPr>
              <w:t>50 litres</w:t>
            </w:r>
            <w:r>
              <w:rPr>
                <w:rFonts w:ascii="Arial" w:hAnsi="Arial" w:cs="Arial"/>
                <w:bCs/>
                <w:lang w:eastAsia="en-US"/>
              </w:rPr>
              <w:t>.</w:t>
            </w:r>
            <w:r w:rsidR="00A91AFE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756051C0" w14:textId="18950DBB" w:rsidR="00A91AFE" w:rsidRDefault="00582AEF" w:rsidP="00A91AFE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£285.60</w:t>
            </w:r>
          </w:p>
        </w:tc>
        <w:tc>
          <w:tcPr>
            <w:tcW w:w="3776" w:type="dxa"/>
          </w:tcPr>
          <w:p w14:paraId="0B2D18C5" w14:textId="36236E66" w:rsidR="00A91AFE" w:rsidRDefault="00DF18D9" w:rsidP="00A91AFE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As above but c</w:t>
            </w:r>
            <w:r w:rsidR="00E56737">
              <w:rPr>
                <w:rFonts w:ascii="Arial" w:hAnsi="Arial" w:cs="Arial"/>
                <w:bCs/>
                <w:lang w:eastAsia="en-US"/>
              </w:rPr>
              <w:t xml:space="preserve">an fix </w:t>
            </w:r>
            <w:r>
              <w:rPr>
                <w:rFonts w:ascii="Arial" w:hAnsi="Arial" w:cs="Arial"/>
                <w:bCs/>
                <w:lang w:eastAsia="en-US"/>
              </w:rPr>
              <w:t xml:space="preserve">direct to </w:t>
            </w:r>
            <w:r w:rsidR="00E56737">
              <w:rPr>
                <w:rFonts w:ascii="Arial" w:hAnsi="Arial" w:cs="Arial"/>
                <w:bCs/>
                <w:lang w:eastAsia="en-US"/>
              </w:rPr>
              <w:t>wall</w:t>
            </w:r>
            <w:r>
              <w:rPr>
                <w:rFonts w:ascii="Arial" w:hAnsi="Arial" w:cs="Arial"/>
                <w:bCs/>
                <w:lang w:eastAsia="en-US"/>
              </w:rPr>
              <w:t>.</w:t>
            </w:r>
            <w:r w:rsidR="00E92FF5">
              <w:rPr>
                <w:rFonts w:ascii="Arial" w:hAnsi="Arial" w:cs="Arial"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lang w:eastAsia="en-US"/>
              </w:rPr>
              <w:t>S</w:t>
            </w:r>
            <w:r w:rsidR="00E92FF5">
              <w:rPr>
                <w:rFonts w:ascii="Arial" w:hAnsi="Arial" w:cs="Arial"/>
                <w:bCs/>
                <w:lang w:eastAsia="en-US"/>
              </w:rPr>
              <w:t>ome in stock.</w:t>
            </w:r>
            <w:r w:rsidR="00582AEF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</w:tr>
      <w:tr w:rsidR="00EC5A83" w14:paraId="59CC865A" w14:textId="77777777" w:rsidTr="00A16DE6">
        <w:tc>
          <w:tcPr>
            <w:tcW w:w="3681" w:type="dxa"/>
            <w:gridSpan w:val="2"/>
          </w:tcPr>
          <w:p w14:paraId="2DE627E1" w14:textId="6B393AE6" w:rsidR="00EC5A83" w:rsidRDefault="00EC5A83" w:rsidP="00A91AFE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Combined bin and bag dispensers:</w:t>
            </w:r>
          </w:p>
        </w:tc>
        <w:tc>
          <w:tcPr>
            <w:tcW w:w="1559" w:type="dxa"/>
          </w:tcPr>
          <w:p w14:paraId="7194B0BC" w14:textId="77777777" w:rsidR="00EC5A83" w:rsidRDefault="00EC5A83" w:rsidP="00A91AFE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776" w:type="dxa"/>
          </w:tcPr>
          <w:p w14:paraId="704D1FDE" w14:textId="77777777" w:rsidR="00EC5A83" w:rsidRDefault="00EC5A83" w:rsidP="00A91AFE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A91AFE" w14:paraId="627FDF36" w14:textId="77777777" w:rsidTr="0097156E">
        <w:tc>
          <w:tcPr>
            <w:tcW w:w="1271" w:type="dxa"/>
          </w:tcPr>
          <w:p w14:paraId="6B47F102" w14:textId="77777777" w:rsidR="00A91AFE" w:rsidRDefault="00A91AFE" w:rsidP="00A91AFE">
            <w:pPr>
              <w:rPr>
                <w:rFonts w:ascii="Arial" w:hAnsi="Arial" w:cs="Arial"/>
                <w:bCs/>
                <w:lang w:eastAsia="en-US"/>
              </w:rPr>
            </w:pPr>
            <w:bookmarkStart w:id="0" w:name="_Hlk75974993"/>
          </w:p>
        </w:tc>
        <w:tc>
          <w:tcPr>
            <w:tcW w:w="2410" w:type="dxa"/>
          </w:tcPr>
          <w:p w14:paraId="41F5D116" w14:textId="69809CE8" w:rsidR="00A91AFE" w:rsidRPr="00AD46F6" w:rsidRDefault="00F1387F" w:rsidP="00A91AFE">
            <w:pPr>
              <w:rPr>
                <w:rFonts w:ascii="Arial" w:hAnsi="Arial" w:cs="Arial"/>
                <w:bCs/>
                <w:lang w:eastAsia="en-US"/>
              </w:rPr>
            </w:pPr>
            <w:r w:rsidRPr="00AD46F6">
              <w:rPr>
                <w:rFonts w:ascii="Arial" w:hAnsi="Arial" w:cs="Arial"/>
                <w:bCs/>
                <w:lang w:eastAsia="en-US"/>
              </w:rPr>
              <w:t>Hercules as ab</w:t>
            </w:r>
            <w:r w:rsidR="00846FEA" w:rsidRPr="00AD46F6">
              <w:rPr>
                <w:rFonts w:ascii="Arial" w:hAnsi="Arial" w:cs="Arial"/>
                <w:bCs/>
                <w:lang w:eastAsia="en-US"/>
              </w:rPr>
              <w:t xml:space="preserve">ove but </w:t>
            </w:r>
            <w:r w:rsidR="004B7967" w:rsidRPr="00AD46F6">
              <w:rPr>
                <w:rFonts w:ascii="Arial" w:hAnsi="Arial" w:cs="Arial"/>
                <w:bCs/>
                <w:lang w:eastAsia="en-US"/>
              </w:rPr>
              <w:t>with</w:t>
            </w:r>
            <w:r w:rsidR="00777C7E" w:rsidRPr="00AD46F6">
              <w:rPr>
                <w:rFonts w:ascii="Helvetica" w:hAnsi="Helvetica"/>
                <w:sz w:val="23"/>
                <w:szCs w:val="23"/>
                <w:shd w:val="clear" w:color="auto" w:fill="FFFFFF"/>
              </w:rPr>
              <w:t xml:space="preserve"> </w:t>
            </w:r>
            <w:r w:rsidR="004B7967" w:rsidRPr="00AD46F6">
              <w:rPr>
                <w:rFonts w:ascii="Helvetica" w:hAnsi="Helvetica"/>
                <w:sz w:val="23"/>
                <w:szCs w:val="23"/>
                <w:shd w:val="clear" w:color="auto" w:fill="FFFFFF"/>
              </w:rPr>
              <w:t xml:space="preserve">dog bag dispenser. </w:t>
            </w:r>
          </w:p>
        </w:tc>
        <w:tc>
          <w:tcPr>
            <w:tcW w:w="1559" w:type="dxa"/>
          </w:tcPr>
          <w:p w14:paraId="0E632079" w14:textId="2BF75BB3" w:rsidR="00A91AFE" w:rsidRDefault="00A91AFE" w:rsidP="00A91AFE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£351.60</w:t>
            </w:r>
          </w:p>
        </w:tc>
        <w:tc>
          <w:tcPr>
            <w:tcW w:w="3776" w:type="dxa"/>
          </w:tcPr>
          <w:p w14:paraId="0BE16F84" w14:textId="651F702D" w:rsidR="00A91AFE" w:rsidRDefault="00A91AFE" w:rsidP="00A91AFE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Includes</w:t>
            </w:r>
            <w:r w:rsidR="00F1387F">
              <w:rPr>
                <w:rFonts w:ascii="Arial" w:hAnsi="Arial" w:cs="Arial"/>
                <w:bCs/>
                <w:lang w:eastAsia="en-US"/>
              </w:rPr>
              <w:t xml:space="preserve"> galvanised</w:t>
            </w:r>
            <w:r>
              <w:rPr>
                <w:rFonts w:ascii="Arial" w:hAnsi="Arial" w:cs="Arial"/>
                <w:bCs/>
                <w:lang w:eastAsia="en-US"/>
              </w:rPr>
              <w:t xml:space="preserve"> post and fixings</w:t>
            </w:r>
            <w:r w:rsidR="00F1387F">
              <w:rPr>
                <w:rFonts w:ascii="Arial" w:hAnsi="Arial" w:cs="Arial"/>
                <w:bCs/>
                <w:lang w:eastAsia="en-US"/>
              </w:rPr>
              <w:t xml:space="preserve"> and case of 800 bags.</w:t>
            </w:r>
          </w:p>
        </w:tc>
      </w:tr>
      <w:tr w:rsidR="00A91AFE" w14:paraId="05C48E57" w14:textId="77777777" w:rsidTr="000F3751">
        <w:tc>
          <w:tcPr>
            <w:tcW w:w="1271" w:type="dxa"/>
          </w:tcPr>
          <w:p w14:paraId="38AF8CB3" w14:textId="77777777" w:rsidR="00A91AFE" w:rsidRDefault="00A91AFE" w:rsidP="00A91AFE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410" w:type="dxa"/>
          </w:tcPr>
          <w:p w14:paraId="41B57F5A" w14:textId="6272FF2A" w:rsidR="00A91AFE" w:rsidRDefault="004B7967" w:rsidP="00A91AFE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Gladiator as above but with dog bag dispenser. </w:t>
            </w:r>
          </w:p>
        </w:tc>
        <w:tc>
          <w:tcPr>
            <w:tcW w:w="1559" w:type="dxa"/>
          </w:tcPr>
          <w:p w14:paraId="6AE36EBE" w14:textId="50155587" w:rsidR="00A91AFE" w:rsidRDefault="00A91AFE" w:rsidP="00A91AFE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£412.80</w:t>
            </w:r>
          </w:p>
        </w:tc>
        <w:tc>
          <w:tcPr>
            <w:tcW w:w="3776" w:type="dxa"/>
          </w:tcPr>
          <w:p w14:paraId="321C6111" w14:textId="03FFDDE9" w:rsidR="00A91AFE" w:rsidRDefault="004B7967" w:rsidP="00A91AFE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As above.</w:t>
            </w:r>
          </w:p>
        </w:tc>
      </w:tr>
      <w:bookmarkEnd w:id="0"/>
    </w:tbl>
    <w:p w14:paraId="649C12B7" w14:textId="77777777" w:rsidR="006B5E29" w:rsidRDefault="006B5E29" w:rsidP="004441AC">
      <w:pPr>
        <w:rPr>
          <w:rFonts w:ascii="Arial" w:hAnsi="Arial" w:cs="Arial"/>
          <w:bCs/>
          <w:lang w:eastAsia="en-US"/>
        </w:rPr>
      </w:pPr>
    </w:p>
    <w:p w14:paraId="758CE6F3" w14:textId="77777777" w:rsidR="006B5E29" w:rsidRPr="006B5E29" w:rsidRDefault="004441AC" w:rsidP="004441AC">
      <w:pPr>
        <w:spacing w:after="120"/>
        <w:rPr>
          <w:rFonts w:ascii="Arial" w:hAnsi="Arial" w:cs="Arial"/>
          <w:b/>
          <w:sz w:val="24"/>
          <w:szCs w:val="24"/>
          <w:lang w:eastAsia="en-US"/>
        </w:rPr>
      </w:pPr>
      <w:r w:rsidRPr="006B5E29">
        <w:rPr>
          <w:rFonts w:ascii="Arial" w:hAnsi="Arial" w:cs="Arial"/>
          <w:b/>
          <w:sz w:val="24"/>
          <w:szCs w:val="24"/>
          <w:lang w:eastAsia="en-US"/>
        </w:rPr>
        <w:t>Agenda item 1</w:t>
      </w:r>
      <w:r w:rsidR="00C7395D" w:rsidRPr="006B5E29">
        <w:rPr>
          <w:rFonts w:ascii="Arial" w:hAnsi="Arial" w:cs="Arial"/>
          <w:b/>
          <w:sz w:val="24"/>
          <w:szCs w:val="24"/>
          <w:lang w:eastAsia="en-US"/>
        </w:rPr>
        <w:t xml:space="preserve">3, </w:t>
      </w:r>
      <w:r w:rsidR="00F647D3" w:rsidRPr="006B5E29">
        <w:rPr>
          <w:rFonts w:ascii="Arial" w:hAnsi="Arial" w:cs="Arial"/>
          <w:b/>
          <w:sz w:val="24"/>
          <w:szCs w:val="24"/>
          <w:lang w:eastAsia="en-US"/>
        </w:rPr>
        <w:t xml:space="preserve">7th July </w:t>
      </w:r>
      <w:r w:rsidR="00C7395D" w:rsidRPr="006B5E29">
        <w:rPr>
          <w:rFonts w:ascii="Arial" w:hAnsi="Arial" w:cs="Arial"/>
          <w:b/>
          <w:sz w:val="24"/>
          <w:szCs w:val="24"/>
          <w:lang w:eastAsia="en-US"/>
        </w:rPr>
        <w:t>2021</w:t>
      </w:r>
    </w:p>
    <w:p w14:paraId="54B0AAF6" w14:textId="39D93F7D" w:rsidR="004441AC" w:rsidRPr="006B5E29" w:rsidRDefault="004441AC" w:rsidP="004441AC">
      <w:pPr>
        <w:spacing w:after="120"/>
        <w:rPr>
          <w:rFonts w:ascii="Arial" w:hAnsi="Arial" w:cs="Arial"/>
          <w:b/>
          <w:sz w:val="24"/>
          <w:szCs w:val="24"/>
          <w:lang w:eastAsia="en-US"/>
        </w:rPr>
      </w:pPr>
      <w:r w:rsidRPr="006B5E29">
        <w:rPr>
          <w:rFonts w:ascii="Arial" w:hAnsi="Arial" w:cs="Arial"/>
          <w:b/>
          <w:sz w:val="24"/>
          <w:szCs w:val="24"/>
          <w:lang w:eastAsia="en-US"/>
        </w:rPr>
        <w:t xml:space="preserve">Finances – </w:t>
      </w:r>
      <w:r w:rsidR="008C3914" w:rsidRPr="006B5E29">
        <w:rPr>
          <w:rFonts w:ascii="Arial" w:hAnsi="Arial" w:cs="Arial"/>
          <w:b/>
          <w:sz w:val="24"/>
          <w:szCs w:val="24"/>
          <w:lang w:eastAsia="en-US"/>
        </w:rPr>
        <w:t>Reconciliation</w:t>
      </w:r>
    </w:p>
    <w:p w14:paraId="1E6644DC" w14:textId="7B83CD48" w:rsidR="004441AC" w:rsidRDefault="004441AC" w:rsidP="004441AC">
      <w:pPr>
        <w:pStyle w:val="yiv1213045286ydp81b0388cyiv5729158960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lang w:eastAsia="en-US"/>
        </w:rPr>
      </w:pPr>
    </w:p>
    <w:p w14:paraId="0A672B4F" w14:textId="372E16B4" w:rsidR="00F647D3" w:rsidRDefault="00741A21" w:rsidP="004441AC">
      <w:pPr>
        <w:pStyle w:val="yiv1213045286ydp81b0388cyiv5729158960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lang w:eastAsia="en-US"/>
        </w:rPr>
      </w:pPr>
      <w:r w:rsidRPr="00741A21">
        <w:rPr>
          <w:noProof/>
        </w:rPr>
        <w:drawing>
          <wp:inline distT="0" distB="0" distL="0" distR="0" wp14:anchorId="0D943002" wp14:editId="7B16DD20">
            <wp:extent cx="3589020" cy="4030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254F3" w14:textId="4581AF17" w:rsidR="00F647D3" w:rsidRDefault="00F647D3" w:rsidP="004441AC">
      <w:pPr>
        <w:pStyle w:val="yiv1213045286ydp81b0388cyiv5729158960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lang w:eastAsia="en-US"/>
        </w:rPr>
      </w:pPr>
    </w:p>
    <w:p w14:paraId="08E33D8E" w14:textId="77777777" w:rsidR="00F647D3" w:rsidRDefault="00F647D3" w:rsidP="004441AC">
      <w:pPr>
        <w:pStyle w:val="yiv1213045286ydp81b0388cyiv5729158960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lang w:eastAsia="en-US"/>
        </w:rPr>
      </w:pPr>
    </w:p>
    <w:p w14:paraId="546C7B6B" w14:textId="77777777" w:rsidR="004441AC" w:rsidRDefault="004441AC" w:rsidP="004441AC">
      <w:pPr>
        <w:pStyle w:val="yiv1213045286ydp81b0388cyiv5729158960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lang w:eastAsia="en-US"/>
        </w:rPr>
      </w:pPr>
    </w:p>
    <w:p w14:paraId="6A2B1C03" w14:textId="77777777" w:rsidR="004441AC" w:rsidRPr="00F647D3" w:rsidRDefault="004441AC" w:rsidP="004441AC">
      <w:pPr>
        <w:spacing w:after="120"/>
        <w:rPr>
          <w:rFonts w:ascii="Arial" w:hAnsi="Arial" w:cs="Arial"/>
          <w:lang w:eastAsia="en-US"/>
        </w:rPr>
      </w:pPr>
      <w:r w:rsidRPr="00F647D3">
        <w:rPr>
          <w:rFonts w:ascii="Arial" w:hAnsi="Arial" w:cs="Arial"/>
          <w:lang w:eastAsia="en-US"/>
        </w:rPr>
        <w:t xml:space="preserve">Signed: </w:t>
      </w:r>
    </w:p>
    <w:p w14:paraId="12DE8BF7" w14:textId="77777777" w:rsidR="004441AC" w:rsidRPr="00F647D3" w:rsidRDefault="004441AC" w:rsidP="004441AC">
      <w:pPr>
        <w:spacing w:after="120"/>
        <w:rPr>
          <w:rFonts w:ascii="Arial" w:hAnsi="Arial" w:cs="Arial"/>
          <w:lang w:eastAsia="en-US"/>
        </w:rPr>
      </w:pPr>
      <w:r w:rsidRPr="00F647D3">
        <w:rPr>
          <w:rFonts w:ascii="Arial" w:hAnsi="Arial" w:cs="Arial"/>
          <w:lang w:eastAsia="en-US"/>
        </w:rPr>
        <w:t>Clerk &amp; RFO …………………………………………………………….</w:t>
      </w:r>
    </w:p>
    <w:p w14:paraId="30EECE1F" w14:textId="77777777" w:rsidR="00340161" w:rsidRPr="00F647D3" w:rsidRDefault="00340161" w:rsidP="004441AC">
      <w:pPr>
        <w:spacing w:after="120"/>
        <w:rPr>
          <w:rFonts w:ascii="Arial" w:hAnsi="Arial" w:cs="Arial"/>
          <w:lang w:eastAsia="en-US"/>
        </w:rPr>
      </w:pPr>
    </w:p>
    <w:p w14:paraId="2F3845F9" w14:textId="5B0D8687" w:rsidR="004441AC" w:rsidRPr="00F647D3" w:rsidRDefault="004441AC" w:rsidP="004441AC">
      <w:pPr>
        <w:spacing w:after="120"/>
        <w:rPr>
          <w:rFonts w:ascii="Arial" w:hAnsi="Arial" w:cs="Arial"/>
          <w:lang w:eastAsia="en-US"/>
        </w:rPr>
      </w:pPr>
      <w:r w:rsidRPr="00F647D3">
        <w:rPr>
          <w:rFonts w:ascii="Arial" w:hAnsi="Arial" w:cs="Arial"/>
          <w:lang w:eastAsia="en-US"/>
        </w:rPr>
        <w:t>Councillor ……………………………………………………………</w:t>
      </w:r>
      <w:proofErr w:type="gramStart"/>
      <w:r w:rsidRPr="00F647D3">
        <w:rPr>
          <w:rFonts w:ascii="Arial" w:hAnsi="Arial" w:cs="Arial"/>
          <w:lang w:eastAsia="en-US"/>
        </w:rPr>
        <w:t>…..</w:t>
      </w:r>
      <w:proofErr w:type="gramEnd"/>
    </w:p>
    <w:p w14:paraId="02F55A9A" w14:textId="68AB11C1" w:rsidR="004441AC" w:rsidRPr="00F647D3" w:rsidRDefault="004441AC" w:rsidP="004441AC">
      <w:pPr>
        <w:spacing w:after="120"/>
        <w:rPr>
          <w:rFonts w:ascii="Arial" w:hAnsi="Arial" w:cs="Arial"/>
          <w:lang w:eastAsia="en-US"/>
        </w:rPr>
      </w:pPr>
      <w:r w:rsidRPr="00F647D3">
        <w:rPr>
          <w:rFonts w:ascii="Arial" w:hAnsi="Arial" w:cs="Arial"/>
          <w:lang w:eastAsia="en-US"/>
        </w:rPr>
        <w:t xml:space="preserve">Date:  </w:t>
      </w:r>
      <w:r w:rsidR="00845F36">
        <w:rPr>
          <w:rFonts w:ascii="Arial" w:hAnsi="Arial" w:cs="Arial"/>
          <w:lang w:eastAsia="en-US"/>
        </w:rPr>
        <w:t>7</w:t>
      </w:r>
      <w:r w:rsidR="00845F36" w:rsidRPr="00845F36">
        <w:rPr>
          <w:rFonts w:ascii="Arial" w:hAnsi="Arial" w:cs="Arial"/>
          <w:vertAlign w:val="superscript"/>
          <w:lang w:eastAsia="en-US"/>
        </w:rPr>
        <w:t>th</w:t>
      </w:r>
      <w:r w:rsidR="00845F36">
        <w:rPr>
          <w:rFonts w:ascii="Arial" w:hAnsi="Arial" w:cs="Arial"/>
          <w:lang w:eastAsia="en-US"/>
        </w:rPr>
        <w:t xml:space="preserve"> July </w:t>
      </w:r>
      <w:r w:rsidRPr="00F647D3">
        <w:rPr>
          <w:rFonts w:ascii="Arial" w:hAnsi="Arial" w:cs="Arial"/>
          <w:lang w:eastAsia="en-US"/>
        </w:rPr>
        <w:t>2021</w:t>
      </w:r>
    </w:p>
    <w:sectPr w:rsidR="004441AC" w:rsidRPr="00F647D3" w:rsidSect="0082026A">
      <w:headerReference w:type="default" r:id="rId13"/>
      <w:footerReference w:type="defaul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4359" w14:textId="77777777" w:rsidR="0089701C" w:rsidRDefault="0089701C" w:rsidP="00023EAC">
      <w:r>
        <w:separator/>
      </w:r>
    </w:p>
  </w:endnote>
  <w:endnote w:type="continuationSeparator" w:id="0">
    <w:p w14:paraId="1CCF62F5" w14:textId="77777777" w:rsidR="0089701C" w:rsidRDefault="0089701C" w:rsidP="00023EAC">
      <w:r>
        <w:continuationSeparator/>
      </w:r>
    </w:p>
  </w:endnote>
  <w:endnote w:type="continuationNotice" w:id="1">
    <w:p w14:paraId="2C8C16DF" w14:textId="77777777" w:rsidR="0089701C" w:rsidRDefault="00897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7285" w14:textId="77777777" w:rsidR="0006568F" w:rsidRDefault="000656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DB7485">
      <w:rPr>
        <w:noProof/>
      </w:rPr>
      <w:t xml:space="preserve"> of </w:t>
    </w:r>
    <w:r w:rsidR="00DB7485">
      <w:rPr>
        <w:noProof/>
      </w:rPr>
      <w:fldChar w:fldCharType="begin"/>
    </w:r>
    <w:r w:rsidR="00DB7485">
      <w:rPr>
        <w:noProof/>
      </w:rPr>
      <w:instrText xml:space="preserve"> NUMPAGES   \* MERGEFORMAT </w:instrText>
    </w:r>
    <w:r w:rsidR="00DB7485">
      <w:rPr>
        <w:noProof/>
      </w:rPr>
      <w:fldChar w:fldCharType="separate"/>
    </w:r>
    <w:r w:rsidR="00DB7485">
      <w:rPr>
        <w:noProof/>
      </w:rPr>
      <w:t>1</w:t>
    </w:r>
    <w:r w:rsidR="00DB7485">
      <w:rPr>
        <w:noProof/>
      </w:rPr>
      <w:fldChar w:fldCharType="end"/>
    </w:r>
  </w:p>
  <w:p w14:paraId="37B02651" w14:textId="77777777" w:rsidR="00023EAC" w:rsidRDefault="00023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D299" w14:textId="77777777" w:rsidR="0089701C" w:rsidRDefault="0089701C" w:rsidP="00023EAC">
      <w:r>
        <w:separator/>
      </w:r>
    </w:p>
  </w:footnote>
  <w:footnote w:type="continuationSeparator" w:id="0">
    <w:p w14:paraId="26AEBAD7" w14:textId="77777777" w:rsidR="0089701C" w:rsidRDefault="0089701C" w:rsidP="00023EAC">
      <w:r>
        <w:continuationSeparator/>
      </w:r>
    </w:p>
  </w:footnote>
  <w:footnote w:type="continuationNotice" w:id="1">
    <w:p w14:paraId="4E0B9E6F" w14:textId="77777777" w:rsidR="0089701C" w:rsidRDefault="008970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F9FA" w14:textId="77777777" w:rsidR="00023EAC" w:rsidRPr="00023EAC" w:rsidRDefault="00023EAC" w:rsidP="00023EAC">
    <w:pPr>
      <w:ind w:right="283"/>
      <w:jc w:val="center"/>
      <w:rPr>
        <w:b/>
        <w:color w:val="7030A0"/>
        <w:szCs w:val="24"/>
        <w:u w:val="single"/>
      </w:rPr>
    </w:pPr>
    <w:r w:rsidRPr="00023EAC">
      <w:rPr>
        <w:b/>
        <w:color w:val="7030A0"/>
        <w:szCs w:val="24"/>
        <w:u w:val="single"/>
      </w:rPr>
      <w:t>TEMPLE GUITING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D29"/>
    <w:multiLevelType w:val="multilevel"/>
    <w:tmpl w:val="4F2E27D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862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724" w:hanging="4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155" w:hanging="43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586" w:hanging="43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3017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3448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879" w:hanging="431"/>
      </w:pPr>
      <w:rPr>
        <w:rFonts w:hint="default"/>
      </w:rPr>
    </w:lvl>
  </w:abstractNum>
  <w:abstractNum w:abstractNumId="1" w15:restartNumberingAfterBreak="0">
    <w:nsid w:val="04776C1B"/>
    <w:multiLevelType w:val="hybridMultilevel"/>
    <w:tmpl w:val="33E41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2F74"/>
    <w:multiLevelType w:val="hybridMultilevel"/>
    <w:tmpl w:val="83583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7CC0"/>
    <w:multiLevelType w:val="hybridMultilevel"/>
    <w:tmpl w:val="2CB68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454"/>
    <w:multiLevelType w:val="hybridMultilevel"/>
    <w:tmpl w:val="316C4BD4"/>
    <w:lvl w:ilvl="0" w:tplc="45DEE1F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D15A6"/>
    <w:multiLevelType w:val="hybridMultilevel"/>
    <w:tmpl w:val="3F10B754"/>
    <w:lvl w:ilvl="0" w:tplc="F81A919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45BF"/>
    <w:multiLevelType w:val="hybridMultilevel"/>
    <w:tmpl w:val="DDDE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20CAB"/>
    <w:multiLevelType w:val="hybridMultilevel"/>
    <w:tmpl w:val="7FDA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D53CD"/>
    <w:multiLevelType w:val="hybridMultilevel"/>
    <w:tmpl w:val="988492C4"/>
    <w:lvl w:ilvl="0" w:tplc="72F486E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867EF"/>
    <w:multiLevelType w:val="multilevel"/>
    <w:tmpl w:val="EEC0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06EC3"/>
    <w:multiLevelType w:val="hybridMultilevel"/>
    <w:tmpl w:val="EE7A54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7757F"/>
    <w:multiLevelType w:val="hybridMultilevel"/>
    <w:tmpl w:val="A25E8B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446BA"/>
    <w:multiLevelType w:val="hybridMultilevel"/>
    <w:tmpl w:val="0360D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0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1F"/>
    <w:rsid w:val="000050E1"/>
    <w:rsid w:val="00013937"/>
    <w:rsid w:val="000164A2"/>
    <w:rsid w:val="00023EAC"/>
    <w:rsid w:val="00026304"/>
    <w:rsid w:val="00042883"/>
    <w:rsid w:val="00050B2D"/>
    <w:rsid w:val="00053C7D"/>
    <w:rsid w:val="00053D8E"/>
    <w:rsid w:val="000540C4"/>
    <w:rsid w:val="00060635"/>
    <w:rsid w:val="000610D8"/>
    <w:rsid w:val="00061C75"/>
    <w:rsid w:val="0006568F"/>
    <w:rsid w:val="00065BE5"/>
    <w:rsid w:val="000713EC"/>
    <w:rsid w:val="000720EF"/>
    <w:rsid w:val="00072665"/>
    <w:rsid w:val="00074654"/>
    <w:rsid w:val="00074764"/>
    <w:rsid w:val="00085BB4"/>
    <w:rsid w:val="000862C3"/>
    <w:rsid w:val="000950A3"/>
    <w:rsid w:val="000968E9"/>
    <w:rsid w:val="000978AF"/>
    <w:rsid w:val="000A493E"/>
    <w:rsid w:val="000A603B"/>
    <w:rsid w:val="000A74EC"/>
    <w:rsid w:val="000A7F64"/>
    <w:rsid w:val="000B4CDD"/>
    <w:rsid w:val="000B7791"/>
    <w:rsid w:val="000C47A3"/>
    <w:rsid w:val="000D21FB"/>
    <w:rsid w:val="000D2D5D"/>
    <w:rsid w:val="000D4AAC"/>
    <w:rsid w:val="000E2D01"/>
    <w:rsid w:val="000E5518"/>
    <w:rsid w:val="000E6FDB"/>
    <w:rsid w:val="000E6FF5"/>
    <w:rsid w:val="000F0C8E"/>
    <w:rsid w:val="000F3751"/>
    <w:rsid w:val="000F6F58"/>
    <w:rsid w:val="001013F0"/>
    <w:rsid w:val="00101671"/>
    <w:rsid w:val="0010681B"/>
    <w:rsid w:val="00107A52"/>
    <w:rsid w:val="00113B03"/>
    <w:rsid w:val="00115641"/>
    <w:rsid w:val="00115FA6"/>
    <w:rsid w:val="00116623"/>
    <w:rsid w:val="00122322"/>
    <w:rsid w:val="00131F7F"/>
    <w:rsid w:val="00132231"/>
    <w:rsid w:val="001402BD"/>
    <w:rsid w:val="00144793"/>
    <w:rsid w:val="00147EBD"/>
    <w:rsid w:val="001644F6"/>
    <w:rsid w:val="00166429"/>
    <w:rsid w:val="001670A4"/>
    <w:rsid w:val="00183265"/>
    <w:rsid w:val="001859A7"/>
    <w:rsid w:val="00187C88"/>
    <w:rsid w:val="00190194"/>
    <w:rsid w:val="0019297F"/>
    <w:rsid w:val="00192AA8"/>
    <w:rsid w:val="001A1130"/>
    <w:rsid w:val="001B2307"/>
    <w:rsid w:val="001B32C3"/>
    <w:rsid w:val="001B359D"/>
    <w:rsid w:val="001B3D2F"/>
    <w:rsid w:val="001B7843"/>
    <w:rsid w:val="001C115F"/>
    <w:rsid w:val="001C2C89"/>
    <w:rsid w:val="001C4B9B"/>
    <w:rsid w:val="001C69BD"/>
    <w:rsid w:val="001C7C9F"/>
    <w:rsid w:val="001D12F0"/>
    <w:rsid w:val="001D1BC6"/>
    <w:rsid w:val="001D696F"/>
    <w:rsid w:val="001E48D5"/>
    <w:rsid w:val="001E525E"/>
    <w:rsid w:val="001E5869"/>
    <w:rsid w:val="001E6104"/>
    <w:rsid w:val="001F1DD7"/>
    <w:rsid w:val="001F1FC0"/>
    <w:rsid w:val="001F2228"/>
    <w:rsid w:val="001F2E92"/>
    <w:rsid w:val="001F5B94"/>
    <w:rsid w:val="002016A2"/>
    <w:rsid w:val="0020405D"/>
    <w:rsid w:val="00212A67"/>
    <w:rsid w:val="00215EF7"/>
    <w:rsid w:val="002206D6"/>
    <w:rsid w:val="00220BE1"/>
    <w:rsid w:val="00226432"/>
    <w:rsid w:val="00230D3C"/>
    <w:rsid w:val="0023235E"/>
    <w:rsid w:val="00251AC2"/>
    <w:rsid w:val="00256410"/>
    <w:rsid w:val="002564B3"/>
    <w:rsid w:val="00257D25"/>
    <w:rsid w:val="00261EFF"/>
    <w:rsid w:val="002623FB"/>
    <w:rsid w:val="002642E7"/>
    <w:rsid w:val="0026465D"/>
    <w:rsid w:val="00281729"/>
    <w:rsid w:val="00281B25"/>
    <w:rsid w:val="002824BE"/>
    <w:rsid w:val="002840F6"/>
    <w:rsid w:val="00292849"/>
    <w:rsid w:val="002A4418"/>
    <w:rsid w:val="002A60DB"/>
    <w:rsid w:val="002A7A66"/>
    <w:rsid w:val="002B11E2"/>
    <w:rsid w:val="002B2788"/>
    <w:rsid w:val="002B5CD9"/>
    <w:rsid w:val="002C2E5E"/>
    <w:rsid w:val="002C3DDB"/>
    <w:rsid w:val="002C5E5E"/>
    <w:rsid w:val="002C71F1"/>
    <w:rsid w:val="002D4FCC"/>
    <w:rsid w:val="002D61BD"/>
    <w:rsid w:val="002D61FB"/>
    <w:rsid w:val="002D7D5C"/>
    <w:rsid w:val="002E6470"/>
    <w:rsid w:val="002E7323"/>
    <w:rsid w:val="002E774E"/>
    <w:rsid w:val="002F05DC"/>
    <w:rsid w:val="002F2A70"/>
    <w:rsid w:val="002F3DA1"/>
    <w:rsid w:val="002F624E"/>
    <w:rsid w:val="00301592"/>
    <w:rsid w:val="00301B39"/>
    <w:rsid w:val="00303E5D"/>
    <w:rsid w:val="00310282"/>
    <w:rsid w:val="00312593"/>
    <w:rsid w:val="00322A0C"/>
    <w:rsid w:val="0032315E"/>
    <w:rsid w:val="00323F1D"/>
    <w:rsid w:val="00325FFE"/>
    <w:rsid w:val="00330C66"/>
    <w:rsid w:val="00336440"/>
    <w:rsid w:val="00337628"/>
    <w:rsid w:val="00340161"/>
    <w:rsid w:val="0034125F"/>
    <w:rsid w:val="00342206"/>
    <w:rsid w:val="0034291E"/>
    <w:rsid w:val="00344EDC"/>
    <w:rsid w:val="00350620"/>
    <w:rsid w:val="0035461B"/>
    <w:rsid w:val="003574D5"/>
    <w:rsid w:val="0036065F"/>
    <w:rsid w:val="00361927"/>
    <w:rsid w:val="00365867"/>
    <w:rsid w:val="0036792C"/>
    <w:rsid w:val="003732F0"/>
    <w:rsid w:val="00374E0A"/>
    <w:rsid w:val="0037652A"/>
    <w:rsid w:val="00376FA1"/>
    <w:rsid w:val="00380322"/>
    <w:rsid w:val="00380BBC"/>
    <w:rsid w:val="00380F3D"/>
    <w:rsid w:val="00382CBD"/>
    <w:rsid w:val="00383BD8"/>
    <w:rsid w:val="0038725D"/>
    <w:rsid w:val="0039329D"/>
    <w:rsid w:val="00393B87"/>
    <w:rsid w:val="003A1CB2"/>
    <w:rsid w:val="003A59A7"/>
    <w:rsid w:val="003B1ECA"/>
    <w:rsid w:val="003B418D"/>
    <w:rsid w:val="003B528C"/>
    <w:rsid w:val="003C04DB"/>
    <w:rsid w:val="003C0AF2"/>
    <w:rsid w:val="003C3278"/>
    <w:rsid w:val="003D2921"/>
    <w:rsid w:val="003D7967"/>
    <w:rsid w:val="003D799E"/>
    <w:rsid w:val="003E1B45"/>
    <w:rsid w:val="003F1E20"/>
    <w:rsid w:val="003F2437"/>
    <w:rsid w:val="003F47A7"/>
    <w:rsid w:val="003F687E"/>
    <w:rsid w:val="003F6FC0"/>
    <w:rsid w:val="003F7A1B"/>
    <w:rsid w:val="00401A73"/>
    <w:rsid w:val="0040651F"/>
    <w:rsid w:val="00406C7A"/>
    <w:rsid w:val="00407949"/>
    <w:rsid w:val="00410DFB"/>
    <w:rsid w:val="0041325A"/>
    <w:rsid w:val="00416648"/>
    <w:rsid w:val="004169DA"/>
    <w:rsid w:val="00416A52"/>
    <w:rsid w:val="00417D49"/>
    <w:rsid w:val="0042033A"/>
    <w:rsid w:val="00425593"/>
    <w:rsid w:val="00425EBE"/>
    <w:rsid w:val="00431124"/>
    <w:rsid w:val="00432D2B"/>
    <w:rsid w:val="00433B20"/>
    <w:rsid w:val="004379B2"/>
    <w:rsid w:val="00441BB8"/>
    <w:rsid w:val="004441AC"/>
    <w:rsid w:val="00446E60"/>
    <w:rsid w:val="00446FD4"/>
    <w:rsid w:val="00450632"/>
    <w:rsid w:val="004534F4"/>
    <w:rsid w:val="00455469"/>
    <w:rsid w:val="004609AE"/>
    <w:rsid w:val="00460A49"/>
    <w:rsid w:val="00462DC7"/>
    <w:rsid w:val="0046489C"/>
    <w:rsid w:val="00472429"/>
    <w:rsid w:val="004829C4"/>
    <w:rsid w:val="00485854"/>
    <w:rsid w:val="00487DE3"/>
    <w:rsid w:val="004916DC"/>
    <w:rsid w:val="0049353E"/>
    <w:rsid w:val="0049735D"/>
    <w:rsid w:val="004A2FE8"/>
    <w:rsid w:val="004A4075"/>
    <w:rsid w:val="004B138F"/>
    <w:rsid w:val="004B215A"/>
    <w:rsid w:val="004B251E"/>
    <w:rsid w:val="004B3CC4"/>
    <w:rsid w:val="004B7967"/>
    <w:rsid w:val="004B7A53"/>
    <w:rsid w:val="004C251B"/>
    <w:rsid w:val="004C674F"/>
    <w:rsid w:val="004D195D"/>
    <w:rsid w:val="004E0D95"/>
    <w:rsid w:val="004F5495"/>
    <w:rsid w:val="004F576E"/>
    <w:rsid w:val="00500C7B"/>
    <w:rsid w:val="00501882"/>
    <w:rsid w:val="00501AE1"/>
    <w:rsid w:val="00502F89"/>
    <w:rsid w:val="005049F4"/>
    <w:rsid w:val="005055CD"/>
    <w:rsid w:val="005106D1"/>
    <w:rsid w:val="0051336E"/>
    <w:rsid w:val="00517DE8"/>
    <w:rsid w:val="0052180A"/>
    <w:rsid w:val="00522AB4"/>
    <w:rsid w:val="005253EE"/>
    <w:rsid w:val="0052571D"/>
    <w:rsid w:val="00525DCE"/>
    <w:rsid w:val="005260E6"/>
    <w:rsid w:val="00531D26"/>
    <w:rsid w:val="00535259"/>
    <w:rsid w:val="00535DCC"/>
    <w:rsid w:val="00540B8C"/>
    <w:rsid w:val="0054246D"/>
    <w:rsid w:val="00543F74"/>
    <w:rsid w:val="00544BF5"/>
    <w:rsid w:val="005457F2"/>
    <w:rsid w:val="00553C12"/>
    <w:rsid w:val="0055684A"/>
    <w:rsid w:val="00556BFD"/>
    <w:rsid w:val="00564680"/>
    <w:rsid w:val="00564D78"/>
    <w:rsid w:val="00566C80"/>
    <w:rsid w:val="00570CB7"/>
    <w:rsid w:val="0057491D"/>
    <w:rsid w:val="0057588C"/>
    <w:rsid w:val="00582AEF"/>
    <w:rsid w:val="00587E56"/>
    <w:rsid w:val="005917E5"/>
    <w:rsid w:val="005945F9"/>
    <w:rsid w:val="00595B7C"/>
    <w:rsid w:val="00596768"/>
    <w:rsid w:val="00597CF7"/>
    <w:rsid w:val="00597DE4"/>
    <w:rsid w:val="005A45DC"/>
    <w:rsid w:val="005B28EF"/>
    <w:rsid w:val="005B3666"/>
    <w:rsid w:val="005B7670"/>
    <w:rsid w:val="005C1FD0"/>
    <w:rsid w:val="005D0D4E"/>
    <w:rsid w:val="005D1EA6"/>
    <w:rsid w:val="005D1FCB"/>
    <w:rsid w:val="005D54BA"/>
    <w:rsid w:val="005D67B0"/>
    <w:rsid w:val="005E13A4"/>
    <w:rsid w:val="005E5402"/>
    <w:rsid w:val="005E56A7"/>
    <w:rsid w:val="005F72B2"/>
    <w:rsid w:val="00600DBA"/>
    <w:rsid w:val="006010D2"/>
    <w:rsid w:val="00610E60"/>
    <w:rsid w:val="00610F64"/>
    <w:rsid w:val="00612049"/>
    <w:rsid w:val="00613BE6"/>
    <w:rsid w:val="006148DE"/>
    <w:rsid w:val="006163DC"/>
    <w:rsid w:val="00617ECF"/>
    <w:rsid w:val="00617FC1"/>
    <w:rsid w:val="00620594"/>
    <w:rsid w:val="00620F5D"/>
    <w:rsid w:val="0062224A"/>
    <w:rsid w:val="00625A52"/>
    <w:rsid w:val="00630DCD"/>
    <w:rsid w:val="006323A8"/>
    <w:rsid w:val="00641E2E"/>
    <w:rsid w:val="00642AFB"/>
    <w:rsid w:val="00644DDE"/>
    <w:rsid w:val="00650842"/>
    <w:rsid w:val="00652BE7"/>
    <w:rsid w:val="00657CA5"/>
    <w:rsid w:val="00663E83"/>
    <w:rsid w:val="00664A36"/>
    <w:rsid w:val="00665039"/>
    <w:rsid w:val="0066727F"/>
    <w:rsid w:val="00673BD2"/>
    <w:rsid w:val="00674378"/>
    <w:rsid w:val="00675289"/>
    <w:rsid w:val="00683E6A"/>
    <w:rsid w:val="0069035C"/>
    <w:rsid w:val="00690E0B"/>
    <w:rsid w:val="00695C25"/>
    <w:rsid w:val="006A0BC8"/>
    <w:rsid w:val="006A7505"/>
    <w:rsid w:val="006B5E29"/>
    <w:rsid w:val="006B68AD"/>
    <w:rsid w:val="006D0104"/>
    <w:rsid w:val="006D355C"/>
    <w:rsid w:val="006D631B"/>
    <w:rsid w:val="006D6B72"/>
    <w:rsid w:val="006E2F7D"/>
    <w:rsid w:val="006E55AF"/>
    <w:rsid w:val="006F43CE"/>
    <w:rsid w:val="006F5CA6"/>
    <w:rsid w:val="007041A5"/>
    <w:rsid w:val="0070487E"/>
    <w:rsid w:val="00706182"/>
    <w:rsid w:val="00711495"/>
    <w:rsid w:val="00714710"/>
    <w:rsid w:val="00715F6F"/>
    <w:rsid w:val="007211AD"/>
    <w:rsid w:val="007231B6"/>
    <w:rsid w:val="007318A6"/>
    <w:rsid w:val="00731F82"/>
    <w:rsid w:val="00736FAD"/>
    <w:rsid w:val="00741A21"/>
    <w:rsid w:val="007451A1"/>
    <w:rsid w:val="007519F6"/>
    <w:rsid w:val="00752D2C"/>
    <w:rsid w:val="00754235"/>
    <w:rsid w:val="00754C62"/>
    <w:rsid w:val="007551C2"/>
    <w:rsid w:val="00755D74"/>
    <w:rsid w:val="0076234C"/>
    <w:rsid w:val="00764E52"/>
    <w:rsid w:val="007673A7"/>
    <w:rsid w:val="00770453"/>
    <w:rsid w:val="00777C7E"/>
    <w:rsid w:val="007800A1"/>
    <w:rsid w:val="007825C0"/>
    <w:rsid w:val="00787AB0"/>
    <w:rsid w:val="00790F89"/>
    <w:rsid w:val="007953B8"/>
    <w:rsid w:val="00795F85"/>
    <w:rsid w:val="007A4AD1"/>
    <w:rsid w:val="007A6208"/>
    <w:rsid w:val="007B26E4"/>
    <w:rsid w:val="007C3A08"/>
    <w:rsid w:val="007C4A76"/>
    <w:rsid w:val="007C5498"/>
    <w:rsid w:val="007D153A"/>
    <w:rsid w:val="007D3EAB"/>
    <w:rsid w:val="007D73C5"/>
    <w:rsid w:val="007E089B"/>
    <w:rsid w:val="007E1E87"/>
    <w:rsid w:val="007E3EAE"/>
    <w:rsid w:val="007E7241"/>
    <w:rsid w:val="007F1588"/>
    <w:rsid w:val="007F2FC5"/>
    <w:rsid w:val="00801A7B"/>
    <w:rsid w:val="00802CC4"/>
    <w:rsid w:val="00810F29"/>
    <w:rsid w:val="008136DA"/>
    <w:rsid w:val="00813FCC"/>
    <w:rsid w:val="00816372"/>
    <w:rsid w:val="0081683B"/>
    <w:rsid w:val="0082026A"/>
    <w:rsid w:val="00822CE5"/>
    <w:rsid w:val="00823545"/>
    <w:rsid w:val="0082436C"/>
    <w:rsid w:val="00824822"/>
    <w:rsid w:val="00830329"/>
    <w:rsid w:val="00830455"/>
    <w:rsid w:val="00832FE4"/>
    <w:rsid w:val="00835500"/>
    <w:rsid w:val="00835607"/>
    <w:rsid w:val="00836C84"/>
    <w:rsid w:val="008430CC"/>
    <w:rsid w:val="00843967"/>
    <w:rsid w:val="008442B2"/>
    <w:rsid w:val="00845F36"/>
    <w:rsid w:val="00846FEA"/>
    <w:rsid w:val="008502D6"/>
    <w:rsid w:val="00851CAB"/>
    <w:rsid w:val="0085406D"/>
    <w:rsid w:val="008557A0"/>
    <w:rsid w:val="008557B4"/>
    <w:rsid w:val="00856144"/>
    <w:rsid w:val="00860911"/>
    <w:rsid w:val="00860945"/>
    <w:rsid w:val="00860C97"/>
    <w:rsid w:val="008657FD"/>
    <w:rsid w:val="0087147D"/>
    <w:rsid w:val="008771B2"/>
    <w:rsid w:val="00877F9F"/>
    <w:rsid w:val="0088701A"/>
    <w:rsid w:val="0089701C"/>
    <w:rsid w:val="008A17E8"/>
    <w:rsid w:val="008A1B8A"/>
    <w:rsid w:val="008A21E3"/>
    <w:rsid w:val="008A30ED"/>
    <w:rsid w:val="008A6874"/>
    <w:rsid w:val="008A7CC7"/>
    <w:rsid w:val="008B15B1"/>
    <w:rsid w:val="008B5367"/>
    <w:rsid w:val="008B7B75"/>
    <w:rsid w:val="008C3914"/>
    <w:rsid w:val="008C3AB0"/>
    <w:rsid w:val="008C44F6"/>
    <w:rsid w:val="008D2339"/>
    <w:rsid w:val="008D414E"/>
    <w:rsid w:val="008D480D"/>
    <w:rsid w:val="008E4C9C"/>
    <w:rsid w:val="008E6921"/>
    <w:rsid w:val="008E704E"/>
    <w:rsid w:val="008E7E26"/>
    <w:rsid w:val="008F34F3"/>
    <w:rsid w:val="008F4EA8"/>
    <w:rsid w:val="008F73BB"/>
    <w:rsid w:val="00904445"/>
    <w:rsid w:val="00906096"/>
    <w:rsid w:val="009077D0"/>
    <w:rsid w:val="00907D80"/>
    <w:rsid w:val="009146CC"/>
    <w:rsid w:val="00915F09"/>
    <w:rsid w:val="0091633A"/>
    <w:rsid w:val="009214CF"/>
    <w:rsid w:val="00926F73"/>
    <w:rsid w:val="00932976"/>
    <w:rsid w:val="0093381B"/>
    <w:rsid w:val="0093495E"/>
    <w:rsid w:val="0093635B"/>
    <w:rsid w:val="00937FA4"/>
    <w:rsid w:val="00940DA2"/>
    <w:rsid w:val="00942293"/>
    <w:rsid w:val="00945C12"/>
    <w:rsid w:val="0095078A"/>
    <w:rsid w:val="00951264"/>
    <w:rsid w:val="009517CD"/>
    <w:rsid w:val="00953967"/>
    <w:rsid w:val="00954DFD"/>
    <w:rsid w:val="00960E61"/>
    <w:rsid w:val="009633A9"/>
    <w:rsid w:val="009637AA"/>
    <w:rsid w:val="00966DC2"/>
    <w:rsid w:val="00967D9D"/>
    <w:rsid w:val="0097156E"/>
    <w:rsid w:val="00975AD8"/>
    <w:rsid w:val="00984327"/>
    <w:rsid w:val="009935B1"/>
    <w:rsid w:val="009A03F6"/>
    <w:rsid w:val="009A0FB5"/>
    <w:rsid w:val="009A2471"/>
    <w:rsid w:val="009B1B3C"/>
    <w:rsid w:val="009B28D9"/>
    <w:rsid w:val="009B5E0F"/>
    <w:rsid w:val="009B7D55"/>
    <w:rsid w:val="009C03CD"/>
    <w:rsid w:val="009C5948"/>
    <w:rsid w:val="009C5F6E"/>
    <w:rsid w:val="009C663E"/>
    <w:rsid w:val="009C7512"/>
    <w:rsid w:val="009C788C"/>
    <w:rsid w:val="009D27C9"/>
    <w:rsid w:val="009D327E"/>
    <w:rsid w:val="009D445F"/>
    <w:rsid w:val="009E1C75"/>
    <w:rsid w:val="009E3199"/>
    <w:rsid w:val="009E766B"/>
    <w:rsid w:val="009F1BFA"/>
    <w:rsid w:val="009F34E2"/>
    <w:rsid w:val="009F4FE0"/>
    <w:rsid w:val="009F5485"/>
    <w:rsid w:val="00A04446"/>
    <w:rsid w:val="00A044BE"/>
    <w:rsid w:val="00A053D7"/>
    <w:rsid w:val="00A057BD"/>
    <w:rsid w:val="00A103A6"/>
    <w:rsid w:val="00A118D4"/>
    <w:rsid w:val="00A170DC"/>
    <w:rsid w:val="00A17A6E"/>
    <w:rsid w:val="00A2089E"/>
    <w:rsid w:val="00A229B6"/>
    <w:rsid w:val="00A22FC0"/>
    <w:rsid w:val="00A34138"/>
    <w:rsid w:val="00A377C1"/>
    <w:rsid w:val="00A407E5"/>
    <w:rsid w:val="00A40927"/>
    <w:rsid w:val="00A41A28"/>
    <w:rsid w:val="00A4371D"/>
    <w:rsid w:val="00A43C87"/>
    <w:rsid w:val="00A442B8"/>
    <w:rsid w:val="00A45B54"/>
    <w:rsid w:val="00A478FE"/>
    <w:rsid w:val="00A553F1"/>
    <w:rsid w:val="00A56E02"/>
    <w:rsid w:val="00A57EE4"/>
    <w:rsid w:val="00A603CB"/>
    <w:rsid w:val="00A65357"/>
    <w:rsid w:val="00A70192"/>
    <w:rsid w:val="00A70DA6"/>
    <w:rsid w:val="00A81650"/>
    <w:rsid w:val="00A81F2F"/>
    <w:rsid w:val="00A84046"/>
    <w:rsid w:val="00A862D7"/>
    <w:rsid w:val="00A91AFE"/>
    <w:rsid w:val="00AA0E79"/>
    <w:rsid w:val="00AA1136"/>
    <w:rsid w:val="00AA6505"/>
    <w:rsid w:val="00AA7809"/>
    <w:rsid w:val="00AB11F7"/>
    <w:rsid w:val="00AC0CC9"/>
    <w:rsid w:val="00AC599D"/>
    <w:rsid w:val="00AC5FDD"/>
    <w:rsid w:val="00AC675B"/>
    <w:rsid w:val="00AD04C2"/>
    <w:rsid w:val="00AD46F6"/>
    <w:rsid w:val="00AD6059"/>
    <w:rsid w:val="00AD61AF"/>
    <w:rsid w:val="00AD758C"/>
    <w:rsid w:val="00AE2CFF"/>
    <w:rsid w:val="00AE35B3"/>
    <w:rsid w:val="00AF001A"/>
    <w:rsid w:val="00AF5AE1"/>
    <w:rsid w:val="00B02162"/>
    <w:rsid w:val="00B04E01"/>
    <w:rsid w:val="00B050D1"/>
    <w:rsid w:val="00B05AA0"/>
    <w:rsid w:val="00B063DC"/>
    <w:rsid w:val="00B132B5"/>
    <w:rsid w:val="00B161D7"/>
    <w:rsid w:val="00B21ADB"/>
    <w:rsid w:val="00B2455C"/>
    <w:rsid w:val="00B2508A"/>
    <w:rsid w:val="00B257AC"/>
    <w:rsid w:val="00B26FFB"/>
    <w:rsid w:val="00B31766"/>
    <w:rsid w:val="00B324F4"/>
    <w:rsid w:val="00B33716"/>
    <w:rsid w:val="00B36A42"/>
    <w:rsid w:val="00B37297"/>
    <w:rsid w:val="00B41AE6"/>
    <w:rsid w:val="00B4420F"/>
    <w:rsid w:val="00B44E3B"/>
    <w:rsid w:val="00B50C6A"/>
    <w:rsid w:val="00B5120A"/>
    <w:rsid w:val="00B519C1"/>
    <w:rsid w:val="00B52657"/>
    <w:rsid w:val="00B53543"/>
    <w:rsid w:val="00B53AA2"/>
    <w:rsid w:val="00B53EB4"/>
    <w:rsid w:val="00B5677D"/>
    <w:rsid w:val="00B62B02"/>
    <w:rsid w:val="00B71ECA"/>
    <w:rsid w:val="00B72974"/>
    <w:rsid w:val="00B76D02"/>
    <w:rsid w:val="00B81228"/>
    <w:rsid w:val="00B81B39"/>
    <w:rsid w:val="00B82357"/>
    <w:rsid w:val="00B8589D"/>
    <w:rsid w:val="00B92A69"/>
    <w:rsid w:val="00B9658C"/>
    <w:rsid w:val="00BB15B3"/>
    <w:rsid w:val="00BB659E"/>
    <w:rsid w:val="00BC55E4"/>
    <w:rsid w:val="00BD237E"/>
    <w:rsid w:val="00BD3A47"/>
    <w:rsid w:val="00BD3F4D"/>
    <w:rsid w:val="00BF540A"/>
    <w:rsid w:val="00C00415"/>
    <w:rsid w:val="00C03937"/>
    <w:rsid w:val="00C05396"/>
    <w:rsid w:val="00C056B8"/>
    <w:rsid w:val="00C10364"/>
    <w:rsid w:val="00C17E4A"/>
    <w:rsid w:val="00C21D2D"/>
    <w:rsid w:val="00C2223A"/>
    <w:rsid w:val="00C22BA0"/>
    <w:rsid w:val="00C2759E"/>
    <w:rsid w:val="00C27BB2"/>
    <w:rsid w:val="00C3290C"/>
    <w:rsid w:val="00C3550C"/>
    <w:rsid w:val="00C43705"/>
    <w:rsid w:val="00C44FD6"/>
    <w:rsid w:val="00C47CCE"/>
    <w:rsid w:val="00C52F7E"/>
    <w:rsid w:val="00C57401"/>
    <w:rsid w:val="00C661B8"/>
    <w:rsid w:val="00C6711D"/>
    <w:rsid w:val="00C7395D"/>
    <w:rsid w:val="00C7513E"/>
    <w:rsid w:val="00C81CCF"/>
    <w:rsid w:val="00C860B2"/>
    <w:rsid w:val="00C9232C"/>
    <w:rsid w:val="00C92C75"/>
    <w:rsid w:val="00C94463"/>
    <w:rsid w:val="00C95D15"/>
    <w:rsid w:val="00CA5A75"/>
    <w:rsid w:val="00CA6883"/>
    <w:rsid w:val="00CB35D4"/>
    <w:rsid w:val="00CC0405"/>
    <w:rsid w:val="00CC3E3F"/>
    <w:rsid w:val="00CC76D8"/>
    <w:rsid w:val="00CD20AC"/>
    <w:rsid w:val="00CD3A60"/>
    <w:rsid w:val="00CD3BE9"/>
    <w:rsid w:val="00CD5541"/>
    <w:rsid w:val="00CD6709"/>
    <w:rsid w:val="00CE1BB3"/>
    <w:rsid w:val="00CE259B"/>
    <w:rsid w:val="00CE72B4"/>
    <w:rsid w:val="00CE7FE2"/>
    <w:rsid w:val="00CF0CCD"/>
    <w:rsid w:val="00CF3D42"/>
    <w:rsid w:val="00CF7A91"/>
    <w:rsid w:val="00D030F1"/>
    <w:rsid w:val="00D032D5"/>
    <w:rsid w:val="00D035B9"/>
    <w:rsid w:val="00D072E8"/>
    <w:rsid w:val="00D12B1D"/>
    <w:rsid w:val="00D17267"/>
    <w:rsid w:val="00D20066"/>
    <w:rsid w:val="00D23DF6"/>
    <w:rsid w:val="00D30132"/>
    <w:rsid w:val="00D30EB6"/>
    <w:rsid w:val="00D33B38"/>
    <w:rsid w:val="00D3495F"/>
    <w:rsid w:val="00D35DF6"/>
    <w:rsid w:val="00D4231D"/>
    <w:rsid w:val="00D42714"/>
    <w:rsid w:val="00D43FC2"/>
    <w:rsid w:val="00D44253"/>
    <w:rsid w:val="00D5466D"/>
    <w:rsid w:val="00D62278"/>
    <w:rsid w:val="00D6249E"/>
    <w:rsid w:val="00D6298B"/>
    <w:rsid w:val="00D640FD"/>
    <w:rsid w:val="00D71A2C"/>
    <w:rsid w:val="00D7500F"/>
    <w:rsid w:val="00D83035"/>
    <w:rsid w:val="00D92DF0"/>
    <w:rsid w:val="00D939D9"/>
    <w:rsid w:val="00D941C3"/>
    <w:rsid w:val="00DA0388"/>
    <w:rsid w:val="00DA0879"/>
    <w:rsid w:val="00DA2247"/>
    <w:rsid w:val="00DA498A"/>
    <w:rsid w:val="00DA5297"/>
    <w:rsid w:val="00DA650F"/>
    <w:rsid w:val="00DB0DAF"/>
    <w:rsid w:val="00DB5F9C"/>
    <w:rsid w:val="00DB7485"/>
    <w:rsid w:val="00DC0386"/>
    <w:rsid w:val="00DC07A6"/>
    <w:rsid w:val="00DD058A"/>
    <w:rsid w:val="00DD6C33"/>
    <w:rsid w:val="00DE1E9E"/>
    <w:rsid w:val="00DE5C63"/>
    <w:rsid w:val="00DE6037"/>
    <w:rsid w:val="00DF036A"/>
    <w:rsid w:val="00DF18D9"/>
    <w:rsid w:val="00DF31FE"/>
    <w:rsid w:val="00DF4272"/>
    <w:rsid w:val="00E06A3C"/>
    <w:rsid w:val="00E074CC"/>
    <w:rsid w:val="00E10A98"/>
    <w:rsid w:val="00E10F5D"/>
    <w:rsid w:val="00E14BC6"/>
    <w:rsid w:val="00E161AB"/>
    <w:rsid w:val="00E30916"/>
    <w:rsid w:val="00E31846"/>
    <w:rsid w:val="00E36158"/>
    <w:rsid w:val="00E40242"/>
    <w:rsid w:val="00E408E8"/>
    <w:rsid w:val="00E41DBF"/>
    <w:rsid w:val="00E42A4B"/>
    <w:rsid w:val="00E52522"/>
    <w:rsid w:val="00E52DE2"/>
    <w:rsid w:val="00E56312"/>
    <w:rsid w:val="00E56737"/>
    <w:rsid w:val="00E7085C"/>
    <w:rsid w:val="00E70B13"/>
    <w:rsid w:val="00E72AB6"/>
    <w:rsid w:val="00E732D2"/>
    <w:rsid w:val="00E74F99"/>
    <w:rsid w:val="00E75CFB"/>
    <w:rsid w:val="00E804DC"/>
    <w:rsid w:val="00E8691F"/>
    <w:rsid w:val="00E92FF5"/>
    <w:rsid w:val="00E93ADE"/>
    <w:rsid w:val="00EA19C1"/>
    <w:rsid w:val="00EA2C64"/>
    <w:rsid w:val="00EA797B"/>
    <w:rsid w:val="00EB2125"/>
    <w:rsid w:val="00EB2257"/>
    <w:rsid w:val="00EB30A4"/>
    <w:rsid w:val="00EB403A"/>
    <w:rsid w:val="00EB57FB"/>
    <w:rsid w:val="00EB5AF3"/>
    <w:rsid w:val="00EC1C2D"/>
    <w:rsid w:val="00EC34F0"/>
    <w:rsid w:val="00EC380D"/>
    <w:rsid w:val="00EC5A83"/>
    <w:rsid w:val="00ED492E"/>
    <w:rsid w:val="00EE191C"/>
    <w:rsid w:val="00EE5B80"/>
    <w:rsid w:val="00EE71D9"/>
    <w:rsid w:val="00EE71E8"/>
    <w:rsid w:val="00EF0E84"/>
    <w:rsid w:val="00EF0F3A"/>
    <w:rsid w:val="00EF3410"/>
    <w:rsid w:val="00EF61F4"/>
    <w:rsid w:val="00F014BE"/>
    <w:rsid w:val="00F025D6"/>
    <w:rsid w:val="00F06E88"/>
    <w:rsid w:val="00F06F6D"/>
    <w:rsid w:val="00F0778C"/>
    <w:rsid w:val="00F103BB"/>
    <w:rsid w:val="00F10B17"/>
    <w:rsid w:val="00F1387F"/>
    <w:rsid w:val="00F157D7"/>
    <w:rsid w:val="00F20BD1"/>
    <w:rsid w:val="00F22054"/>
    <w:rsid w:val="00F22426"/>
    <w:rsid w:val="00F240D7"/>
    <w:rsid w:val="00F3176E"/>
    <w:rsid w:val="00F3428C"/>
    <w:rsid w:val="00F525CD"/>
    <w:rsid w:val="00F529C9"/>
    <w:rsid w:val="00F537FC"/>
    <w:rsid w:val="00F540D4"/>
    <w:rsid w:val="00F61745"/>
    <w:rsid w:val="00F626D2"/>
    <w:rsid w:val="00F647D3"/>
    <w:rsid w:val="00F65B7A"/>
    <w:rsid w:val="00F66C6F"/>
    <w:rsid w:val="00F754E0"/>
    <w:rsid w:val="00F770AE"/>
    <w:rsid w:val="00F773E4"/>
    <w:rsid w:val="00F776A1"/>
    <w:rsid w:val="00F80EC2"/>
    <w:rsid w:val="00F81B64"/>
    <w:rsid w:val="00F8367E"/>
    <w:rsid w:val="00F9175A"/>
    <w:rsid w:val="00FA018F"/>
    <w:rsid w:val="00FA072F"/>
    <w:rsid w:val="00FA165F"/>
    <w:rsid w:val="00FA1F55"/>
    <w:rsid w:val="00FA414F"/>
    <w:rsid w:val="00FA5993"/>
    <w:rsid w:val="00FA6BCA"/>
    <w:rsid w:val="00FB449C"/>
    <w:rsid w:val="00FC0F55"/>
    <w:rsid w:val="00FD47B1"/>
    <w:rsid w:val="00FD6857"/>
    <w:rsid w:val="00FD6C2A"/>
    <w:rsid w:val="00FE02A2"/>
    <w:rsid w:val="00FE16BC"/>
    <w:rsid w:val="00FE7906"/>
    <w:rsid w:val="00FE7AA3"/>
    <w:rsid w:val="00FF4D9C"/>
    <w:rsid w:val="00FF5A85"/>
    <w:rsid w:val="00FF6073"/>
    <w:rsid w:val="5A5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4CEC"/>
  <w15:chartTrackingRefBased/>
  <w15:docId w15:val="{DD475D3A-BC48-4E98-AADE-6BBD91B6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E"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D2B"/>
    <w:pPr>
      <w:keepNext/>
      <w:keepLines/>
      <w:numPr>
        <w:numId w:val="10"/>
      </w:numPr>
      <w:spacing w:before="240" w:line="276" w:lineRule="auto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D2B"/>
    <w:pPr>
      <w:keepNext/>
      <w:keepLines/>
      <w:numPr>
        <w:ilvl w:val="1"/>
        <w:numId w:val="10"/>
      </w:numPr>
      <w:spacing w:line="360" w:lineRule="auto"/>
      <w:ind w:left="1151"/>
      <w:outlineLvl w:val="1"/>
    </w:pPr>
    <w:rPr>
      <w:rFonts w:eastAsiaTheme="majorEastAsia" w:cstheme="majorBidi"/>
      <w:sz w:val="24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D2B"/>
    <w:pPr>
      <w:keepNext/>
      <w:keepLines/>
      <w:numPr>
        <w:ilvl w:val="3"/>
        <w:numId w:val="10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D2B"/>
    <w:pPr>
      <w:keepNext/>
      <w:keepLines/>
      <w:numPr>
        <w:ilvl w:val="4"/>
        <w:numId w:val="10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D2B"/>
    <w:pPr>
      <w:keepNext/>
      <w:keepLines/>
      <w:numPr>
        <w:ilvl w:val="5"/>
        <w:numId w:val="10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D2B"/>
    <w:pPr>
      <w:keepNext/>
      <w:keepLines/>
      <w:numPr>
        <w:ilvl w:val="6"/>
        <w:numId w:val="10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D2B"/>
    <w:pPr>
      <w:keepNext/>
      <w:keepLines/>
      <w:numPr>
        <w:ilvl w:val="7"/>
        <w:numId w:val="10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D2B"/>
    <w:pPr>
      <w:keepNext/>
      <w:keepLines/>
      <w:numPr>
        <w:ilvl w:val="8"/>
        <w:numId w:val="10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E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EAC"/>
  </w:style>
  <w:style w:type="paragraph" w:styleId="Footer">
    <w:name w:val="footer"/>
    <w:basedOn w:val="Normal"/>
    <w:link w:val="FooterChar"/>
    <w:uiPriority w:val="99"/>
    <w:unhideWhenUsed/>
    <w:rsid w:val="00023E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EAC"/>
  </w:style>
  <w:style w:type="paragraph" w:styleId="ListParagraph">
    <w:name w:val="List Paragraph"/>
    <w:basedOn w:val="Normal"/>
    <w:uiPriority w:val="34"/>
    <w:qFormat/>
    <w:rsid w:val="00714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7B75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rsid w:val="00EF61F4"/>
    <w:rPr>
      <w:u w:val="single"/>
    </w:rPr>
  </w:style>
  <w:style w:type="paragraph" w:customStyle="1" w:styleId="Body">
    <w:name w:val="Body"/>
    <w:rsid w:val="00EF61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table" w:styleId="TableGrid">
    <w:name w:val="Table Grid"/>
    <w:basedOn w:val="TableNormal"/>
    <w:uiPriority w:val="59"/>
    <w:rsid w:val="00EF61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C4B9B"/>
    <w:rPr>
      <w:color w:val="605E5C"/>
      <w:shd w:val="clear" w:color="auto" w:fill="E1DFDD"/>
    </w:rPr>
  </w:style>
  <w:style w:type="paragraph" w:customStyle="1" w:styleId="yiv1213045286ydp81b0388cyiv5729158960msonormal">
    <w:name w:val="yiv1213045286ydp81b0388cyiv5729158960msonormal"/>
    <w:basedOn w:val="Normal"/>
    <w:rsid w:val="00FA59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2D2B"/>
    <w:rPr>
      <w:rFonts w:eastAsiaTheme="majorEastAsia" w:cstheme="majorBidi"/>
      <w:b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32D2B"/>
    <w:rPr>
      <w:rFonts w:eastAsiaTheme="majorEastAsia" w:cstheme="majorBidi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D2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D2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D2B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D2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D2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D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otswold.gov.uk/online-applications/applicationDetails.do?activeTab=documents&amp;keyVal=QRYS4MFII7C0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3.gloucestershire.gov.uk/gccdocs/gcc_docs_start.aspx?action=show&amp;appName=planning&amp;appNumber=21/0030/CWREG3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rbenterprises.com/product-category/dog-waste-bin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in-shop.co.uk/dog-waste-bi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glasdon.com/litter-bins/dog-waste-bi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Links>
    <vt:vector size="12" baseType="variant">
      <vt:variant>
        <vt:i4>1376338</vt:i4>
      </vt:variant>
      <vt:variant>
        <vt:i4>3</vt:i4>
      </vt:variant>
      <vt:variant>
        <vt:i4>0</vt:i4>
      </vt:variant>
      <vt:variant>
        <vt:i4>5</vt:i4>
      </vt:variant>
      <vt:variant>
        <vt:lpwstr>https://www.roadside-technologies.co.uk/community-speed-watch-groups/</vt:lpwstr>
      </vt:variant>
      <vt:variant>
        <vt:lpwstr/>
      </vt:variant>
      <vt:variant>
        <vt:i4>2424949</vt:i4>
      </vt:variant>
      <vt:variant>
        <vt:i4>0</vt:i4>
      </vt:variant>
      <vt:variant>
        <vt:i4>0</vt:i4>
      </vt:variant>
      <vt:variant>
        <vt:i4>5</vt:i4>
      </vt:variant>
      <vt:variant>
        <vt:lpwstr>https://www.twmtraffic.com/signs/captis-equipment/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Maxi Freeman</cp:lastModifiedBy>
  <cp:revision>142</cp:revision>
  <cp:lastPrinted>2021-07-07T15:56:00Z</cp:lastPrinted>
  <dcterms:created xsi:type="dcterms:W3CDTF">2021-06-30T18:03:00Z</dcterms:created>
  <dcterms:modified xsi:type="dcterms:W3CDTF">2021-07-07T16:00:00Z</dcterms:modified>
</cp:coreProperties>
</file>