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C89B" w14:textId="77777777" w:rsidR="00065BE5" w:rsidRPr="007F1588" w:rsidRDefault="00065BE5" w:rsidP="00065BE5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F158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Clerk’s Report for </w:t>
      </w:r>
    </w:p>
    <w:p w14:paraId="215DC0A6" w14:textId="4755CFF4" w:rsidR="00065BE5" w:rsidRPr="007F1588" w:rsidRDefault="5A5E5DE0" w:rsidP="00065BE5">
      <w:pPr>
        <w:spacing w:after="1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F1588">
        <w:rPr>
          <w:rFonts w:ascii="Arial" w:hAnsi="Arial" w:cs="Arial"/>
          <w:sz w:val="24"/>
          <w:szCs w:val="24"/>
          <w:lang w:eastAsia="en-US"/>
        </w:rPr>
        <w:t xml:space="preserve">Thursday </w:t>
      </w:r>
      <w:r w:rsidR="0037652A">
        <w:rPr>
          <w:rFonts w:ascii="Arial" w:hAnsi="Arial" w:cs="Arial"/>
          <w:sz w:val="24"/>
          <w:szCs w:val="24"/>
          <w:lang w:eastAsia="en-US"/>
        </w:rPr>
        <w:t xml:space="preserve">8 October </w:t>
      </w:r>
      <w:r w:rsidR="007F1588" w:rsidRPr="007F1588">
        <w:rPr>
          <w:rFonts w:ascii="Arial" w:hAnsi="Arial" w:cs="Arial"/>
          <w:sz w:val="24"/>
          <w:szCs w:val="24"/>
          <w:lang w:eastAsia="en-US"/>
        </w:rPr>
        <w:t>t</w:t>
      </w:r>
      <w:r w:rsidRPr="007F1588">
        <w:rPr>
          <w:rFonts w:ascii="Arial" w:hAnsi="Arial" w:cs="Arial"/>
          <w:sz w:val="24"/>
          <w:szCs w:val="24"/>
          <w:lang w:eastAsia="en-US"/>
        </w:rPr>
        <w:t xml:space="preserve">o Friday </w:t>
      </w:r>
      <w:r w:rsidR="0037652A">
        <w:rPr>
          <w:rFonts w:ascii="Arial" w:hAnsi="Arial" w:cs="Arial"/>
          <w:sz w:val="24"/>
          <w:szCs w:val="24"/>
          <w:lang w:eastAsia="en-US"/>
        </w:rPr>
        <w:t>27 November</w:t>
      </w:r>
      <w:r w:rsidRPr="007F1588">
        <w:rPr>
          <w:rFonts w:ascii="Arial" w:hAnsi="Arial" w:cs="Arial"/>
          <w:sz w:val="24"/>
          <w:szCs w:val="24"/>
          <w:lang w:eastAsia="en-US"/>
        </w:rPr>
        <w:t xml:space="preserve"> 2020</w:t>
      </w:r>
    </w:p>
    <w:p w14:paraId="24B45EB9" w14:textId="77777777" w:rsidR="00065BE5" w:rsidRPr="00E36158" w:rsidRDefault="00065BE5" w:rsidP="00065BE5">
      <w:pPr>
        <w:spacing w:after="1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F1588">
        <w:rPr>
          <w:rFonts w:ascii="Arial" w:eastAsia="Calibri" w:hAnsi="Arial" w:cs="Arial"/>
          <w:sz w:val="24"/>
          <w:szCs w:val="24"/>
          <w:lang w:eastAsia="en-US"/>
        </w:rPr>
        <w:t>(Points numbered according to the minutes of the last meeting</w:t>
      </w:r>
      <w:r w:rsidRPr="00E36158">
        <w:rPr>
          <w:rFonts w:ascii="Arial" w:eastAsia="Calibri" w:hAnsi="Arial" w:cs="Arial"/>
          <w:sz w:val="24"/>
          <w:szCs w:val="24"/>
          <w:lang w:eastAsia="en-US"/>
        </w:rPr>
        <w:t>.)</w:t>
      </w:r>
    </w:p>
    <w:p w14:paraId="36A29E73" w14:textId="77777777" w:rsidR="009E3199" w:rsidRDefault="00CD5541" w:rsidP="0037652A">
      <w:pPr>
        <w:ind w:hanging="567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4</w:t>
      </w:r>
      <w:r w:rsidR="00065BE5" w:rsidRPr="00065BE5">
        <w:rPr>
          <w:rFonts w:ascii="Arial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hAnsi="Arial" w:cs="Arial"/>
          <w:b/>
          <w:sz w:val="24"/>
          <w:szCs w:val="24"/>
          <w:lang w:eastAsia="en-US"/>
        </w:rPr>
        <w:tab/>
        <w:t xml:space="preserve">Minutes.  </w:t>
      </w:r>
    </w:p>
    <w:p w14:paraId="17A560F2" w14:textId="175C3D00" w:rsidR="00065BE5" w:rsidRPr="00065BE5" w:rsidRDefault="00065BE5" w:rsidP="009E3199">
      <w:pPr>
        <w:spacing w:after="120"/>
        <w:rPr>
          <w:rFonts w:ascii="Arial" w:hAnsi="Arial" w:cs="Arial"/>
          <w:sz w:val="24"/>
          <w:szCs w:val="24"/>
          <w:lang w:eastAsia="en-US"/>
        </w:rPr>
      </w:pPr>
      <w:r w:rsidRPr="00065BE5">
        <w:rPr>
          <w:rFonts w:ascii="Arial" w:hAnsi="Arial" w:cs="Arial"/>
          <w:sz w:val="24"/>
          <w:szCs w:val="24"/>
          <w:lang w:eastAsia="en-US"/>
        </w:rPr>
        <w:t>Clerk has posted the previous minutes to the website and the noticeboards</w:t>
      </w:r>
      <w:r w:rsidR="0037652A">
        <w:rPr>
          <w:rFonts w:ascii="Arial" w:hAnsi="Arial" w:cs="Arial"/>
          <w:sz w:val="24"/>
          <w:szCs w:val="24"/>
          <w:lang w:eastAsia="en-US"/>
        </w:rPr>
        <w:t xml:space="preserve">. </w:t>
      </w:r>
      <w:r w:rsidR="5A5E5DE0" w:rsidRPr="5A5E5D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E84DC1C" w14:textId="77777777" w:rsidR="009E3199" w:rsidRDefault="007F1588" w:rsidP="009E3199">
      <w:pPr>
        <w:ind w:hanging="567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7</w:t>
      </w:r>
      <w:r w:rsidR="00187C88">
        <w:rPr>
          <w:rFonts w:ascii="Arial" w:hAnsi="Arial" w:cs="Arial"/>
          <w:b/>
          <w:sz w:val="24"/>
          <w:szCs w:val="24"/>
          <w:lang w:eastAsia="en-US"/>
        </w:rPr>
        <w:t>.</w:t>
      </w:r>
      <w:r w:rsidR="00187C88">
        <w:rPr>
          <w:rFonts w:ascii="Arial" w:hAnsi="Arial" w:cs="Arial"/>
          <w:b/>
          <w:sz w:val="24"/>
          <w:szCs w:val="24"/>
          <w:lang w:eastAsia="en-US"/>
        </w:rPr>
        <w:tab/>
      </w:r>
      <w:r w:rsidR="008E704E">
        <w:rPr>
          <w:rFonts w:ascii="Arial" w:hAnsi="Arial" w:cs="Arial"/>
          <w:b/>
          <w:sz w:val="24"/>
          <w:szCs w:val="24"/>
          <w:lang w:eastAsia="en-US"/>
        </w:rPr>
        <w:t xml:space="preserve">Planning.  </w:t>
      </w:r>
    </w:p>
    <w:p w14:paraId="515F9C24" w14:textId="18C5E834" w:rsidR="00380322" w:rsidRDefault="00BD3A47" w:rsidP="007F1588">
      <w:pPr>
        <w:spacing w:after="12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Clerk arranged planning </w:t>
      </w:r>
      <w:r w:rsidR="0037652A">
        <w:rPr>
          <w:rFonts w:ascii="Arial" w:hAnsi="Arial" w:cs="Arial"/>
          <w:bCs/>
          <w:sz w:val="24"/>
          <w:szCs w:val="24"/>
          <w:lang w:eastAsia="en-US"/>
        </w:rPr>
        <w:t>site visits to</w:t>
      </w:r>
      <w:r w:rsidR="00617ECF">
        <w:rPr>
          <w:rFonts w:ascii="Arial" w:hAnsi="Arial" w:cs="Arial"/>
          <w:bCs/>
          <w:sz w:val="24"/>
          <w:szCs w:val="24"/>
          <w:lang w:eastAsia="en-US"/>
        </w:rPr>
        <w:t>:</w:t>
      </w:r>
      <w:r w:rsidR="003F47A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33874506" w14:textId="77777777" w:rsidR="00380322" w:rsidRDefault="00380322" w:rsidP="00380322">
      <w:pPr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Kineton Thorns</w:t>
      </w:r>
    </w:p>
    <w:p w14:paraId="47989FA7" w14:textId="77777777" w:rsidR="00380322" w:rsidRDefault="0037652A" w:rsidP="00380322">
      <w:pPr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The Walled Garden</w:t>
      </w:r>
    </w:p>
    <w:p w14:paraId="433C6AE7" w14:textId="232314DB" w:rsidR="0037652A" w:rsidRDefault="0037652A" w:rsidP="00380322">
      <w:pPr>
        <w:spacing w:after="12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New Barn Farm </w:t>
      </w:r>
    </w:p>
    <w:p w14:paraId="4A168D80" w14:textId="77777777" w:rsidR="007F1588" w:rsidRDefault="007F1588" w:rsidP="00595B7C">
      <w:pPr>
        <w:ind w:hanging="567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8.</w:t>
      </w:r>
      <w:r>
        <w:rPr>
          <w:rFonts w:ascii="Arial" w:hAnsi="Arial" w:cs="Arial"/>
          <w:b/>
          <w:sz w:val="24"/>
          <w:szCs w:val="24"/>
          <w:lang w:eastAsia="en-US"/>
        </w:rPr>
        <w:tab/>
        <w:t>Website hosting</w:t>
      </w:r>
    </w:p>
    <w:p w14:paraId="5E3F4D53" w14:textId="7A410694" w:rsidR="007F1588" w:rsidRPr="007F1588" w:rsidRDefault="0037652A" w:rsidP="0037652A">
      <w:pPr>
        <w:spacing w:after="12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Further information and requests sent to </w:t>
      </w:r>
      <w:r w:rsidR="007F1588" w:rsidRPr="007F1588">
        <w:rPr>
          <w:rFonts w:ascii="Arial" w:hAnsi="Arial" w:cs="Arial"/>
          <w:bCs/>
          <w:sz w:val="24"/>
          <w:szCs w:val="24"/>
          <w:lang w:eastAsia="en-US"/>
        </w:rPr>
        <w:t>previous website administrator to enable the site to be transferred to GoDaddy.</w:t>
      </w:r>
    </w:p>
    <w:p w14:paraId="7EF4E34C" w14:textId="75CB8173" w:rsidR="00975AD8" w:rsidRPr="0037652A" w:rsidRDefault="001B7843" w:rsidP="00835607">
      <w:pPr>
        <w:ind w:hanging="567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10</w:t>
      </w:r>
      <w:r w:rsidR="0037652A" w:rsidRPr="0037652A">
        <w:rPr>
          <w:rFonts w:ascii="Arial" w:hAnsi="Arial" w:cs="Arial"/>
          <w:b/>
          <w:sz w:val="24"/>
          <w:szCs w:val="24"/>
          <w:lang w:eastAsia="en-US"/>
        </w:rPr>
        <w:t>.</w:t>
      </w:r>
      <w:r w:rsidR="0037652A" w:rsidRPr="0037652A">
        <w:rPr>
          <w:rFonts w:ascii="Arial" w:hAnsi="Arial" w:cs="Arial"/>
          <w:b/>
          <w:sz w:val="24"/>
          <w:szCs w:val="24"/>
          <w:lang w:eastAsia="en-US"/>
        </w:rPr>
        <w:tab/>
        <w:t>Parking in Temple Guiting.</w:t>
      </w:r>
    </w:p>
    <w:p w14:paraId="47D81C31" w14:textId="207AAA5B" w:rsidR="00FA5993" w:rsidRDefault="0037652A" w:rsidP="0037652A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Clerk contacted residents who had expressed concern re parking in the village to arrange a meeting where the </w:t>
      </w:r>
      <w:r w:rsidR="007D153A">
        <w:rPr>
          <w:rFonts w:ascii="Arial" w:hAnsi="Arial" w:cs="Arial"/>
          <w:bCs/>
          <w:sz w:val="24"/>
          <w:szCs w:val="24"/>
          <w:lang w:eastAsia="en-US"/>
        </w:rPr>
        <w:t xml:space="preserve">following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options could be discussed.  </w:t>
      </w:r>
    </w:p>
    <w:p w14:paraId="3566AC49" w14:textId="2F150D2C" w:rsidR="00FA5993" w:rsidRPr="007D153A" w:rsidRDefault="00FA5993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7D153A">
        <w:rPr>
          <w:rFonts w:ascii="Arial" w:hAnsi="Arial" w:cs="Arial"/>
          <w:bCs/>
          <w:lang w:eastAsia="en-US"/>
        </w:rPr>
        <w:t xml:space="preserve">* </w:t>
      </w:r>
      <w:r w:rsidR="007D153A" w:rsidRPr="007D153A">
        <w:rPr>
          <w:rFonts w:ascii="Arial" w:hAnsi="Arial" w:cs="Arial"/>
          <w:bCs/>
          <w:lang w:eastAsia="en-US"/>
        </w:rPr>
        <w:t xml:space="preserve">asking visitors to </w:t>
      </w:r>
      <w:r w:rsidRPr="007D153A">
        <w:rPr>
          <w:rFonts w:ascii="Arial" w:hAnsi="Arial" w:cs="Arial"/>
          <w:bCs/>
          <w:lang w:eastAsia="en-US"/>
        </w:rPr>
        <w:t>park in the Village Hall car park (which would need signage)</w:t>
      </w:r>
    </w:p>
    <w:p w14:paraId="3EEC4430" w14:textId="4379684C" w:rsidR="00FA5993" w:rsidRPr="007D153A" w:rsidRDefault="00FA5993" w:rsidP="00960E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7D153A">
        <w:rPr>
          <w:rFonts w:ascii="Arial" w:hAnsi="Arial" w:cs="Arial"/>
          <w:bCs/>
          <w:lang w:eastAsia="en-US"/>
        </w:rPr>
        <w:t xml:space="preserve">* a walking route avoiding the road over the River Windrush </w:t>
      </w:r>
      <w:r w:rsidR="007D153A" w:rsidRPr="007D153A">
        <w:rPr>
          <w:rFonts w:ascii="Arial" w:hAnsi="Arial" w:cs="Arial"/>
          <w:bCs/>
          <w:lang w:eastAsia="en-US"/>
        </w:rPr>
        <w:t xml:space="preserve">to the car park </w:t>
      </w:r>
      <w:r w:rsidRPr="007D153A">
        <w:rPr>
          <w:rFonts w:ascii="Arial" w:hAnsi="Arial" w:cs="Arial"/>
          <w:bCs/>
          <w:lang w:eastAsia="en-US"/>
        </w:rPr>
        <w:t>(which would need permission from local land owners, signage and surfacing)</w:t>
      </w:r>
    </w:p>
    <w:p w14:paraId="1CFB7AFD" w14:textId="77B9D5EE" w:rsidR="007D153A" w:rsidRPr="007D153A" w:rsidRDefault="00FA5993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7D153A">
        <w:rPr>
          <w:rFonts w:ascii="Arial" w:hAnsi="Arial" w:cs="Arial"/>
          <w:bCs/>
          <w:lang w:eastAsia="en-US"/>
        </w:rPr>
        <w:t>* yellow lines on the corners near the Pantry (which would need agreement from Gloucestershire County Council Highways for a Traffic Regulation Order and somewhere else for cars to park</w:t>
      </w:r>
      <w:r w:rsidR="007D153A" w:rsidRPr="007D153A">
        <w:rPr>
          <w:rFonts w:ascii="Arial" w:hAnsi="Arial" w:cs="Arial"/>
          <w:bCs/>
          <w:lang w:eastAsia="en-US"/>
        </w:rPr>
        <w:t xml:space="preserve"> – see the first option</w:t>
      </w:r>
      <w:r w:rsidRPr="007D153A">
        <w:rPr>
          <w:rFonts w:ascii="Arial" w:hAnsi="Arial" w:cs="Arial"/>
          <w:bCs/>
          <w:lang w:eastAsia="en-US"/>
        </w:rPr>
        <w:t>).</w:t>
      </w:r>
    </w:p>
    <w:p w14:paraId="145BF5D3" w14:textId="0CE49E18" w:rsidR="007D153A" w:rsidRP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7D153A">
        <w:rPr>
          <w:rFonts w:ascii="Arial" w:hAnsi="Arial" w:cs="Arial"/>
          <w:bCs/>
          <w:lang w:eastAsia="en-US"/>
        </w:rPr>
        <w:t xml:space="preserve">* asking the new residents of Shepherd’s </w:t>
      </w:r>
      <w:r w:rsidR="00380322">
        <w:rPr>
          <w:rFonts w:ascii="Arial" w:hAnsi="Arial" w:cs="Arial"/>
          <w:bCs/>
          <w:lang w:eastAsia="en-US"/>
        </w:rPr>
        <w:t>C</w:t>
      </w:r>
      <w:r w:rsidRPr="007D153A">
        <w:rPr>
          <w:rFonts w:ascii="Arial" w:hAnsi="Arial" w:cs="Arial"/>
          <w:bCs/>
          <w:lang w:eastAsia="en-US"/>
        </w:rPr>
        <w:t>ottage to trim the vegetation back from the road and repair the wall.</w:t>
      </w:r>
    </w:p>
    <w:p w14:paraId="189D1F71" w14:textId="77777777" w:rsid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The call did not take place as  -</w:t>
      </w:r>
    </w:p>
    <w:p w14:paraId="79611882" w14:textId="77777777" w:rsid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only 2 people responded</w:t>
      </w:r>
    </w:p>
    <w:p w14:paraId="5D05A026" w14:textId="77777777" w:rsid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one of the causes of excessive parking was viewings of Shepherd’s cottage, which has since been sold.</w:t>
      </w:r>
    </w:p>
    <w:p w14:paraId="6E8B0C48" w14:textId="25745FE4" w:rsid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- the walking route </w:t>
      </w:r>
      <w:r w:rsidR="004B215A">
        <w:rPr>
          <w:rFonts w:ascii="Arial" w:hAnsi="Arial" w:cs="Arial"/>
          <w:bCs/>
          <w:lang w:eastAsia="en-US"/>
        </w:rPr>
        <w:t xml:space="preserve">would need to cross land owned by Temple Guiting Manor </w:t>
      </w:r>
      <w:r w:rsidR="00E30916">
        <w:rPr>
          <w:rFonts w:ascii="Arial" w:hAnsi="Arial" w:cs="Arial"/>
          <w:bCs/>
          <w:lang w:eastAsia="en-US"/>
        </w:rPr>
        <w:t>to reach the car park and</w:t>
      </w:r>
      <w:r w:rsidR="003B418D">
        <w:rPr>
          <w:rFonts w:ascii="Arial" w:hAnsi="Arial" w:cs="Arial"/>
          <w:bCs/>
          <w:lang w:eastAsia="en-US"/>
        </w:rPr>
        <w:t xml:space="preserve"> </w:t>
      </w:r>
      <w:r w:rsidR="00B50C6A">
        <w:rPr>
          <w:rFonts w:ascii="Arial" w:hAnsi="Arial" w:cs="Arial"/>
          <w:bCs/>
          <w:lang w:eastAsia="en-US"/>
        </w:rPr>
        <w:t>may</w:t>
      </w:r>
      <w:r>
        <w:rPr>
          <w:rFonts w:ascii="Arial" w:hAnsi="Arial" w:cs="Arial"/>
          <w:bCs/>
          <w:lang w:eastAsia="en-US"/>
        </w:rPr>
        <w:t xml:space="preserve"> meet resistance</w:t>
      </w:r>
      <w:r w:rsidR="003B418D">
        <w:rPr>
          <w:rFonts w:ascii="Arial" w:hAnsi="Arial" w:cs="Arial"/>
          <w:bCs/>
          <w:lang w:eastAsia="en-US"/>
        </w:rPr>
        <w:t xml:space="preserve">. It </w:t>
      </w:r>
      <w:r>
        <w:rPr>
          <w:rFonts w:ascii="Arial" w:hAnsi="Arial" w:cs="Arial"/>
          <w:bCs/>
          <w:lang w:eastAsia="en-US"/>
        </w:rPr>
        <w:t>would also cost more than the PC has available</w:t>
      </w:r>
      <w:r w:rsidR="004B215A">
        <w:rPr>
          <w:rFonts w:ascii="Arial" w:hAnsi="Arial" w:cs="Arial"/>
          <w:bCs/>
          <w:lang w:eastAsia="en-US"/>
        </w:rPr>
        <w:t xml:space="preserve"> as a new bridge would have to be built</w:t>
      </w:r>
      <w:r>
        <w:rPr>
          <w:rFonts w:ascii="Arial" w:hAnsi="Arial" w:cs="Arial"/>
          <w:bCs/>
          <w:lang w:eastAsia="en-US"/>
        </w:rPr>
        <w:t>.</w:t>
      </w:r>
    </w:p>
    <w:p w14:paraId="4968F645" w14:textId="5D21EEE2" w:rsidR="00FA5993" w:rsidRDefault="009A03F6" w:rsidP="00A2089E">
      <w:pPr>
        <w:pStyle w:val="yiv1213045286ydp81b0388cyiv5729158960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</w:t>
      </w:r>
      <w:r w:rsidR="007D153A">
        <w:rPr>
          <w:rFonts w:ascii="Arial" w:hAnsi="Arial" w:cs="Arial"/>
          <w:bCs/>
          <w:lang w:eastAsia="en-US"/>
        </w:rPr>
        <w:t xml:space="preserve"> A TRO costs around £15,000, which is more than the PC has available, plus it would be very difficult to enforce given the limited capacity of the police in the area.  </w:t>
      </w:r>
    </w:p>
    <w:p w14:paraId="7318B373" w14:textId="284C96A4" w:rsidR="007D153A" w:rsidRDefault="00960E61" w:rsidP="00A2089E">
      <w:pPr>
        <w:pStyle w:val="yiv1213045286ydp81b0388cyiv5729158960msonormal"/>
        <w:shd w:val="clear" w:color="auto" w:fill="FFFFFF"/>
        <w:spacing w:before="120" w:beforeAutospacing="0" w:after="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- Nigel Moor’s kind suggestion of </w:t>
      </w:r>
      <w:r w:rsidR="00A2089E">
        <w:rPr>
          <w:rFonts w:ascii="Arial" w:hAnsi="Arial" w:cs="Arial"/>
          <w:bCs/>
          <w:lang w:eastAsia="en-US"/>
        </w:rPr>
        <w:t>painting</w:t>
      </w:r>
      <w:r>
        <w:rPr>
          <w:rFonts w:ascii="Arial" w:hAnsi="Arial" w:cs="Arial"/>
          <w:bCs/>
          <w:lang w:eastAsia="en-US"/>
        </w:rPr>
        <w:t xml:space="preserve"> white ‘H’ lines </w:t>
      </w:r>
      <w:r w:rsidR="00A2089E">
        <w:rPr>
          <w:rFonts w:ascii="Arial" w:hAnsi="Arial" w:cs="Arial"/>
          <w:bCs/>
          <w:lang w:eastAsia="en-US"/>
        </w:rPr>
        <w:t xml:space="preserve">would </w:t>
      </w:r>
      <w:r w:rsidR="009A03F6">
        <w:rPr>
          <w:rFonts w:ascii="Arial" w:hAnsi="Arial" w:cs="Arial"/>
          <w:bCs/>
          <w:lang w:eastAsia="en-US"/>
        </w:rPr>
        <w:t>not be enforceable, they are advisory</w:t>
      </w:r>
      <w:r w:rsidR="003B418D">
        <w:rPr>
          <w:rFonts w:ascii="Arial" w:hAnsi="Arial" w:cs="Arial"/>
          <w:bCs/>
          <w:lang w:eastAsia="en-US"/>
        </w:rPr>
        <w:t xml:space="preserve"> signs</w:t>
      </w:r>
      <w:r w:rsidR="00B050D1">
        <w:rPr>
          <w:rFonts w:ascii="Arial" w:hAnsi="Arial" w:cs="Arial"/>
          <w:bCs/>
          <w:lang w:eastAsia="en-US"/>
        </w:rPr>
        <w:t xml:space="preserve"> sorespondents were not enthusiastic.</w:t>
      </w:r>
    </w:p>
    <w:p w14:paraId="46E2DD56" w14:textId="77777777" w:rsidR="00960E61" w:rsidRDefault="00960E61" w:rsidP="00960E61">
      <w:pPr>
        <w:pStyle w:val="yiv1213045286ydp81b0388cyiv5729158960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</w:p>
    <w:p w14:paraId="1567F7CE" w14:textId="006C744F" w:rsidR="007D153A" w:rsidRDefault="007D153A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Th</w:t>
      </w:r>
      <w:r w:rsidR="001B7843">
        <w:rPr>
          <w:rFonts w:ascii="Arial" w:hAnsi="Arial" w:cs="Arial"/>
          <w:bCs/>
          <w:lang w:eastAsia="en-US"/>
        </w:rPr>
        <w:t>e</w:t>
      </w:r>
      <w:r>
        <w:rPr>
          <w:rFonts w:ascii="Arial" w:hAnsi="Arial" w:cs="Arial"/>
          <w:bCs/>
          <w:lang w:eastAsia="en-US"/>
        </w:rPr>
        <w:t xml:space="preserve"> </w:t>
      </w:r>
      <w:r w:rsidR="001B7843">
        <w:rPr>
          <w:rFonts w:ascii="Arial" w:hAnsi="Arial" w:cs="Arial"/>
          <w:bCs/>
          <w:lang w:eastAsia="en-US"/>
        </w:rPr>
        <w:t xml:space="preserve">options of </w:t>
      </w:r>
      <w:r>
        <w:rPr>
          <w:rFonts w:ascii="Arial" w:hAnsi="Arial" w:cs="Arial"/>
          <w:bCs/>
          <w:lang w:eastAsia="en-US"/>
        </w:rPr>
        <w:t xml:space="preserve">signage to the village hall car park </w:t>
      </w:r>
      <w:r w:rsidR="00380322">
        <w:rPr>
          <w:rFonts w:ascii="Arial" w:hAnsi="Arial" w:cs="Arial"/>
          <w:bCs/>
          <w:lang w:eastAsia="en-US"/>
        </w:rPr>
        <w:t>and asking the new residents to maintain the wall and vegetation</w:t>
      </w:r>
      <w:r w:rsidR="001B7843">
        <w:rPr>
          <w:rFonts w:ascii="Arial" w:hAnsi="Arial" w:cs="Arial"/>
          <w:bCs/>
          <w:lang w:eastAsia="en-US"/>
        </w:rPr>
        <w:t xml:space="preserve"> remain</w:t>
      </w:r>
      <w:r w:rsidR="00380322">
        <w:rPr>
          <w:rFonts w:ascii="Arial" w:hAnsi="Arial" w:cs="Arial"/>
          <w:bCs/>
          <w:lang w:eastAsia="en-US"/>
        </w:rPr>
        <w:t>.  The cost of village ‘finger pointer’ signs is in the region of £250 - £300, depending on size, style and wording.  Details of the new residents are not yet available.</w:t>
      </w:r>
    </w:p>
    <w:p w14:paraId="5BB6BA03" w14:textId="0C0AF197" w:rsidR="00A56E02" w:rsidRDefault="00A56E02" w:rsidP="007D153A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</w:p>
    <w:p w14:paraId="13C0CB9B" w14:textId="43B53695" w:rsidR="00835607" w:rsidRDefault="00A56E02" w:rsidP="00A56E02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Cs/>
          <w:lang w:eastAsia="en-US"/>
        </w:rPr>
        <w:br w:type="page"/>
      </w:r>
      <w:r w:rsidR="00122322">
        <w:rPr>
          <w:rFonts w:ascii="Arial" w:hAnsi="Arial" w:cs="Arial"/>
          <w:b/>
          <w:lang w:eastAsia="en-US"/>
        </w:rPr>
        <w:lastRenderedPageBreak/>
        <w:t>1</w:t>
      </w:r>
      <w:r w:rsidR="001B7843">
        <w:rPr>
          <w:rFonts w:ascii="Arial" w:hAnsi="Arial" w:cs="Arial"/>
          <w:b/>
          <w:lang w:eastAsia="en-US"/>
        </w:rPr>
        <w:t>6</w:t>
      </w:r>
      <w:r w:rsidR="00122322">
        <w:rPr>
          <w:rFonts w:ascii="Arial" w:hAnsi="Arial" w:cs="Arial"/>
          <w:b/>
          <w:lang w:eastAsia="en-US"/>
        </w:rPr>
        <w:t>.</w:t>
      </w:r>
      <w:r w:rsidR="00835607">
        <w:rPr>
          <w:rFonts w:ascii="Arial" w:hAnsi="Arial" w:cs="Arial"/>
          <w:b/>
          <w:lang w:eastAsia="en-US"/>
        </w:rPr>
        <w:tab/>
      </w:r>
      <w:r w:rsidR="001B7843">
        <w:rPr>
          <w:rFonts w:ascii="Arial" w:hAnsi="Arial" w:cs="Arial"/>
          <w:b/>
          <w:lang w:eastAsia="en-US"/>
        </w:rPr>
        <w:t xml:space="preserve">Finances - </w:t>
      </w:r>
      <w:r w:rsidR="00835607">
        <w:rPr>
          <w:rFonts w:ascii="Arial" w:hAnsi="Arial" w:cs="Arial"/>
          <w:b/>
          <w:lang w:eastAsia="en-US"/>
        </w:rPr>
        <w:t>Review of banking arrangements (resulting from auditor’s report)</w:t>
      </w:r>
    </w:p>
    <w:p w14:paraId="01C8DD64" w14:textId="77777777" w:rsidR="00380F3D" w:rsidRDefault="001B7843" w:rsidP="001B7843">
      <w:pPr>
        <w:spacing w:after="12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TGPC is likely to carry over 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 xml:space="preserve">more than </w:t>
      </w:r>
      <w:r>
        <w:rPr>
          <w:rFonts w:ascii="Arial" w:hAnsi="Arial" w:cs="Arial"/>
          <w:bCs/>
          <w:sz w:val="24"/>
          <w:szCs w:val="24"/>
          <w:lang w:eastAsia="en-US"/>
        </w:rPr>
        <w:t>£1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>5</w:t>
      </w:r>
      <w:r>
        <w:rPr>
          <w:rFonts w:ascii="Arial" w:hAnsi="Arial" w:cs="Arial"/>
          <w:bCs/>
          <w:sz w:val="24"/>
          <w:szCs w:val="24"/>
          <w:lang w:eastAsia="en-US"/>
        </w:rPr>
        <w:t>,000 into next year’s accounts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 xml:space="preserve">. This includes savings and the incorporation of a second account into the current account.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835607" w:rsidRPr="00835607">
        <w:rPr>
          <w:rFonts w:ascii="Arial" w:hAnsi="Arial" w:cs="Arial"/>
          <w:bCs/>
          <w:sz w:val="24"/>
          <w:szCs w:val="24"/>
          <w:lang w:eastAsia="en-US"/>
        </w:rPr>
        <w:t>Clerk has reviewed banking and investment arrangements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 xml:space="preserve">.  </w:t>
      </w:r>
    </w:p>
    <w:p w14:paraId="664FA97C" w14:textId="1ABE4699" w:rsidR="00835607" w:rsidRDefault="00380F3D" w:rsidP="001B7843">
      <w:pPr>
        <w:spacing w:after="12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The current account with Lloyds is free of charge and, as such, represents the best </w:t>
      </w:r>
      <w:r w:rsidR="00416A52">
        <w:rPr>
          <w:rFonts w:ascii="Arial" w:hAnsi="Arial" w:cs="Arial"/>
          <w:bCs/>
          <w:sz w:val="24"/>
          <w:szCs w:val="24"/>
          <w:lang w:eastAsia="en-US"/>
        </w:rPr>
        <w:t>value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available.  </w:t>
      </w:r>
      <w:r w:rsidR="00835607" w:rsidRPr="0083560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Regarding deposit accounts:</w:t>
      </w:r>
    </w:p>
    <w:p w14:paraId="5FD06880" w14:textId="77777777" w:rsidR="00D035B9" w:rsidRDefault="00835607" w:rsidP="00D035B9">
      <w:pPr>
        <w:pStyle w:val="ListParagraph"/>
        <w:numPr>
          <w:ilvl w:val="0"/>
          <w:numId w:val="9"/>
        </w:numPr>
        <w:ind w:left="709" w:hanging="425"/>
        <w:rPr>
          <w:rFonts w:ascii="Arial" w:hAnsi="Arial" w:cs="Arial"/>
          <w:bCs/>
          <w:sz w:val="24"/>
          <w:szCs w:val="24"/>
          <w:lang w:eastAsia="en-US"/>
        </w:rPr>
      </w:pPr>
      <w:r w:rsidRPr="00835607">
        <w:rPr>
          <w:rFonts w:ascii="Arial" w:hAnsi="Arial" w:cs="Arial"/>
          <w:bCs/>
          <w:sz w:val="24"/>
          <w:szCs w:val="24"/>
          <w:lang w:eastAsia="en-US"/>
        </w:rPr>
        <w:t xml:space="preserve">rates of interest for </w:t>
      </w:r>
      <w:r w:rsidR="00D035B9">
        <w:rPr>
          <w:rFonts w:ascii="Arial" w:hAnsi="Arial" w:cs="Arial"/>
          <w:bCs/>
          <w:sz w:val="24"/>
          <w:szCs w:val="24"/>
          <w:lang w:eastAsia="en-US"/>
        </w:rPr>
        <w:t xml:space="preserve">savings </w:t>
      </w:r>
      <w:r w:rsidRPr="00835607">
        <w:rPr>
          <w:rFonts w:ascii="Arial" w:hAnsi="Arial" w:cs="Arial"/>
          <w:bCs/>
          <w:sz w:val="24"/>
          <w:szCs w:val="24"/>
          <w:lang w:eastAsia="en-US"/>
        </w:rPr>
        <w:t>accounts are very low regardless of provider</w:t>
      </w:r>
      <w:r w:rsidR="00D035B9">
        <w:rPr>
          <w:rFonts w:ascii="Arial" w:hAnsi="Arial" w:cs="Arial"/>
          <w:bCs/>
          <w:sz w:val="24"/>
          <w:szCs w:val="24"/>
          <w:lang w:eastAsia="en-US"/>
        </w:rPr>
        <w:t xml:space="preserve">.  NS&amp;I, previously one of the best and most versatile, has recently reduced interest rates significantly (see below).  </w:t>
      </w:r>
    </w:p>
    <w:p w14:paraId="5945DA9A" w14:textId="3246F8F8" w:rsidR="00835607" w:rsidRDefault="00D035B9" w:rsidP="00D035B9">
      <w:pPr>
        <w:pStyle w:val="ListParagraph"/>
        <w:numPr>
          <w:ilvl w:val="0"/>
          <w:numId w:val="9"/>
        </w:numPr>
        <w:ind w:left="709" w:hanging="425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There may be further rates of reduction across the board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 xml:space="preserve"> in the near future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67E0398F" w14:textId="77777777" w:rsidR="00D035B9" w:rsidRDefault="00D035B9" w:rsidP="00D035B9">
      <w:pPr>
        <w:pStyle w:val="ListParagraph"/>
        <w:numPr>
          <w:ilvl w:val="0"/>
          <w:numId w:val="9"/>
        </w:numPr>
        <w:ind w:left="709" w:hanging="425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Fixed Income bonds offer a higher rate but withdrawals are not allowed and the sum must be committed for a given term. </w:t>
      </w:r>
    </w:p>
    <w:p w14:paraId="200D0735" w14:textId="490D3362" w:rsidR="00D035B9" w:rsidRPr="00835607" w:rsidRDefault="00D035B9" w:rsidP="0087147D">
      <w:pPr>
        <w:numPr>
          <w:ilvl w:val="0"/>
          <w:numId w:val="9"/>
        </w:numPr>
        <w:ind w:hanging="436"/>
        <w:rPr>
          <w:rFonts w:ascii="Arial" w:hAnsi="Arial" w:cs="Arial"/>
          <w:bCs/>
          <w:sz w:val="24"/>
          <w:szCs w:val="24"/>
          <w:lang w:eastAsia="en-US"/>
        </w:rPr>
      </w:pPr>
      <w:r w:rsidRPr="00835607">
        <w:rPr>
          <w:rFonts w:ascii="Arial" w:hAnsi="Arial" w:cs="Arial"/>
          <w:bCs/>
          <w:sz w:val="24"/>
          <w:szCs w:val="24"/>
          <w:lang w:eastAsia="en-US"/>
        </w:rPr>
        <w:t xml:space="preserve">If </w:t>
      </w:r>
      <w:r>
        <w:rPr>
          <w:rFonts w:ascii="Arial" w:hAnsi="Arial" w:cs="Arial"/>
          <w:bCs/>
          <w:sz w:val="24"/>
          <w:szCs w:val="24"/>
          <w:lang w:eastAsia="en-US"/>
        </w:rPr>
        <w:t>TG</w:t>
      </w:r>
      <w:r w:rsidRPr="00835607">
        <w:rPr>
          <w:rFonts w:ascii="Arial" w:hAnsi="Arial" w:cs="Arial"/>
          <w:bCs/>
          <w:sz w:val="24"/>
          <w:szCs w:val="24"/>
          <w:lang w:eastAsia="en-US"/>
        </w:rPr>
        <w:t xml:space="preserve">PC would like to deposit cash in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a savings </w:t>
      </w:r>
      <w:r w:rsidRPr="00835607">
        <w:rPr>
          <w:rFonts w:ascii="Arial" w:hAnsi="Arial" w:cs="Arial"/>
          <w:bCs/>
          <w:sz w:val="24"/>
          <w:szCs w:val="24"/>
          <w:lang w:eastAsia="en-US"/>
        </w:rPr>
        <w:t xml:space="preserve">accounts, </w:t>
      </w:r>
      <w:r>
        <w:rPr>
          <w:rFonts w:ascii="Arial" w:hAnsi="Arial" w:cs="Arial"/>
          <w:bCs/>
          <w:sz w:val="24"/>
          <w:szCs w:val="24"/>
          <w:lang w:eastAsia="en-US"/>
        </w:rPr>
        <w:t>at least 6 months typical expenditure i.e. £2,300 should be</w:t>
      </w:r>
      <w:r w:rsidRPr="00835607">
        <w:rPr>
          <w:rFonts w:ascii="Arial" w:hAnsi="Arial" w:cs="Arial"/>
          <w:bCs/>
          <w:sz w:val="24"/>
          <w:szCs w:val="24"/>
          <w:lang w:eastAsia="en-US"/>
        </w:rPr>
        <w:t xml:space="preserve"> left in the current account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 xml:space="preserve"> as a contingency fund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 </w:t>
      </w:r>
    </w:p>
    <w:p w14:paraId="2EDA3114" w14:textId="2F95A673" w:rsidR="00835607" w:rsidRPr="00835607" w:rsidRDefault="0087147D" w:rsidP="0087147D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PC savings account</w:t>
      </w:r>
      <w:r w:rsidR="00380F3D">
        <w:rPr>
          <w:rFonts w:ascii="Arial" w:hAnsi="Arial" w:cs="Arial"/>
          <w:bCs/>
          <w:sz w:val="24"/>
          <w:szCs w:val="24"/>
          <w:lang w:eastAsia="en-US"/>
        </w:rPr>
        <w:t>s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should be with stable providers and must not put capital at risk.  Some of the best options are:</w:t>
      </w:r>
    </w:p>
    <w:p w14:paraId="0399A848" w14:textId="77777777" w:rsidR="00835607" w:rsidRPr="00835607" w:rsidRDefault="00835607" w:rsidP="00835607">
      <w:pPr>
        <w:rPr>
          <w:rFonts w:ascii="Arial" w:hAnsi="Arial" w:cs="Arial"/>
          <w:bCs/>
          <w:sz w:val="24"/>
          <w:szCs w:val="24"/>
          <w:lang w:eastAsia="en-US"/>
        </w:rPr>
      </w:pPr>
    </w:p>
    <w:tbl>
      <w:tblPr>
        <w:tblW w:w="8804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760"/>
        <w:gridCol w:w="2835"/>
      </w:tblGrid>
      <w:tr w:rsidR="00835607" w:rsidRPr="008A17E8" w14:paraId="66A65BE3" w14:textId="77777777" w:rsidTr="008A17E8">
        <w:tc>
          <w:tcPr>
            <w:tcW w:w="3209" w:type="dxa"/>
            <w:shd w:val="clear" w:color="auto" w:fill="auto"/>
          </w:tcPr>
          <w:p w14:paraId="38D987BB" w14:textId="77777777" w:rsidR="00835607" w:rsidRPr="008A17E8" w:rsidRDefault="00D035B9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NS &amp; I </w:t>
            </w:r>
            <w:r w:rsidR="00835607"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Direct Saver</w:t>
            </w:r>
          </w:p>
          <w:p w14:paraId="0C38E5E8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7DD8A801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shd w:val="clear" w:color="auto" w:fill="auto"/>
          </w:tcPr>
          <w:p w14:paraId="7BB22D70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Taxable.  </w:t>
            </w:r>
            <w:r w:rsidR="0087147D"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Variable.</w:t>
            </w:r>
          </w:p>
          <w:p w14:paraId="7D862449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1.00% gross/AER to 23 November 2020 </w:t>
            </w:r>
          </w:p>
          <w:p w14:paraId="1E2AF570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0.15% gross/AER</w:t>
            </w: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from 24 November 2020 Interest calculated daily, added to account annual on 1 April.</w:t>
            </w:r>
            <w:r w:rsidRPr="008A17E8">
              <w:rPr>
                <w:rFonts w:ascii="Times New Roman" w:hAnsi="Times New Roman"/>
                <w:bdr w:val="ni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1169955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No notice, no penalty</w:t>
            </w:r>
          </w:p>
          <w:p w14:paraId="0B05554F" w14:textId="77777777" w:rsidR="00835607" w:rsidRPr="008A17E8" w:rsidRDefault="00835607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Online and phone access. </w:t>
            </w:r>
          </w:p>
        </w:tc>
      </w:tr>
      <w:tr w:rsidR="00835607" w:rsidRPr="008A17E8" w14:paraId="4F454A29" w14:textId="77777777" w:rsidTr="008A17E8">
        <w:tc>
          <w:tcPr>
            <w:tcW w:w="3209" w:type="dxa"/>
            <w:shd w:val="clear" w:color="auto" w:fill="auto"/>
          </w:tcPr>
          <w:p w14:paraId="17200968" w14:textId="77777777" w:rsidR="00835607" w:rsidRPr="008A17E8" w:rsidRDefault="0087147D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>Post Office Instant Saver or Online Saver</w:t>
            </w:r>
          </w:p>
        </w:tc>
        <w:tc>
          <w:tcPr>
            <w:tcW w:w="2760" w:type="dxa"/>
            <w:shd w:val="clear" w:color="auto" w:fill="auto"/>
          </w:tcPr>
          <w:p w14:paraId="43158A83" w14:textId="77777777" w:rsidR="00835607" w:rsidRPr="008A17E8" w:rsidRDefault="0087147D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 xml:space="preserve">Taxable.  </w:t>
            </w:r>
            <w:r w:rsidR="00975AD8"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 xml:space="preserve">Variable. </w:t>
            </w: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 xml:space="preserve">0.35% reverts </w:t>
            </w:r>
            <w:r w:rsidR="00975AD8"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>to 0.1%</w:t>
            </w: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 xml:space="preserve">after a year. </w:t>
            </w:r>
          </w:p>
        </w:tc>
        <w:tc>
          <w:tcPr>
            <w:tcW w:w="2835" w:type="dxa"/>
            <w:shd w:val="clear" w:color="auto" w:fill="auto"/>
          </w:tcPr>
          <w:p w14:paraId="2C6F921E" w14:textId="77777777" w:rsidR="00835607" w:rsidRPr="008A17E8" w:rsidRDefault="00975AD8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>No notice, no penalty.  Online and branch access.</w:t>
            </w:r>
          </w:p>
        </w:tc>
      </w:tr>
      <w:tr w:rsidR="00835607" w:rsidRPr="008A17E8" w14:paraId="32C004F8" w14:textId="77777777" w:rsidTr="008A17E8">
        <w:tc>
          <w:tcPr>
            <w:tcW w:w="3209" w:type="dxa"/>
            <w:shd w:val="clear" w:color="auto" w:fill="auto"/>
          </w:tcPr>
          <w:p w14:paraId="303AE8C1" w14:textId="77777777" w:rsidR="00835607" w:rsidRPr="008A17E8" w:rsidRDefault="0087147D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Post Office Online Bond</w:t>
            </w:r>
          </w:p>
        </w:tc>
        <w:tc>
          <w:tcPr>
            <w:tcW w:w="2760" w:type="dxa"/>
            <w:shd w:val="clear" w:color="auto" w:fill="auto"/>
          </w:tcPr>
          <w:p w14:paraId="5EFFF021" w14:textId="77777777" w:rsidR="00835607" w:rsidRPr="008A17E8" w:rsidRDefault="0087147D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0.50% - 0.60% (1yr or longer)</w:t>
            </w:r>
          </w:p>
        </w:tc>
        <w:tc>
          <w:tcPr>
            <w:tcW w:w="2835" w:type="dxa"/>
            <w:shd w:val="clear" w:color="auto" w:fill="auto"/>
          </w:tcPr>
          <w:p w14:paraId="1BAC0EC9" w14:textId="77777777" w:rsidR="00835607" w:rsidRPr="008A17E8" w:rsidRDefault="0087147D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No withdrawals for the agreed term.</w:t>
            </w:r>
          </w:p>
        </w:tc>
      </w:tr>
      <w:tr w:rsidR="00975AD8" w:rsidRPr="008A17E8" w14:paraId="53ABE799" w14:textId="77777777" w:rsidTr="008A17E8">
        <w:tc>
          <w:tcPr>
            <w:tcW w:w="3209" w:type="dxa"/>
            <w:shd w:val="clear" w:color="auto" w:fill="auto"/>
          </w:tcPr>
          <w:p w14:paraId="0B8B70AB" w14:textId="77777777" w:rsidR="00975AD8" w:rsidRPr="008A17E8" w:rsidRDefault="00975AD8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>Tesco Fixed Rate Saver</w:t>
            </w:r>
          </w:p>
        </w:tc>
        <w:tc>
          <w:tcPr>
            <w:tcW w:w="2760" w:type="dxa"/>
            <w:shd w:val="clear" w:color="auto" w:fill="auto"/>
          </w:tcPr>
          <w:p w14:paraId="7F6E0A0A" w14:textId="77777777" w:rsidR="00975AD8" w:rsidRPr="008A17E8" w:rsidRDefault="00975AD8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  <w:t xml:space="preserve">0.40% - 0.70% (1yr or longer)  </w:t>
            </w:r>
          </w:p>
        </w:tc>
        <w:tc>
          <w:tcPr>
            <w:tcW w:w="2835" w:type="dxa"/>
            <w:shd w:val="clear" w:color="auto" w:fill="auto"/>
          </w:tcPr>
          <w:p w14:paraId="3B840B22" w14:textId="77777777" w:rsidR="00975AD8" w:rsidRPr="008A17E8" w:rsidRDefault="00975AD8" w:rsidP="008A17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Cs/>
                <w:sz w:val="24"/>
                <w:szCs w:val="24"/>
                <w:bdr w:val="nil"/>
                <w:lang w:eastAsia="en-US"/>
              </w:rPr>
            </w:pPr>
            <w:r w:rsidRPr="008A17E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No withdrawals for the agreed term.</w:t>
            </w:r>
          </w:p>
        </w:tc>
      </w:tr>
    </w:tbl>
    <w:p w14:paraId="21D17F98" w14:textId="3892442B" w:rsidR="003F7A1B" w:rsidRDefault="003F7A1B" w:rsidP="003F7A1B">
      <w:pPr>
        <w:spacing w:before="240"/>
        <w:ind w:hanging="567"/>
        <w:rPr>
          <w:rFonts w:ascii="Arial" w:hAnsi="Arial" w:cs="Arial"/>
          <w:b/>
          <w:sz w:val="24"/>
          <w:szCs w:val="24"/>
          <w:lang w:eastAsia="en-US"/>
        </w:rPr>
      </w:pPr>
    </w:p>
    <w:p w14:paraId="45D6C758" w14:textId="636615D1" w:rsidR="00B063DC" w:rsidRDefault="003F7A1B" w:rsidP="003F7A1B">
      <w:pPr>
        <w:spacing w:before="24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br w:type="page"/>
      </w:r>
      <w:r w:rsidR="00B063DC">
        <w:rPr>
          <w:rFonts w:ascii="Arial" w:hAnsi="Arial" w:cs="Arial"/>
          <w:b/>
          <w:sz w:val="24"/>
          <w:szCs w:val="24"/>
          <w:lang w:eastAsia="en-US"/>
        </w:rPr>
        <w:lastRenderedPageBreak/>
        <w:t>1</w:t>
      </w:r>
      <w:r>
        <w:rPr>
          <w:rFonts w:ascii="Arial" w:hAnsi="Arial" w:cs="Arial"/>
          <w:b/>
          <w:sz w:val="24"/>
          <w:szCs w:val="24"/>
          <w:lang w:eastAsia="en-US"/>
        </w:rPr>
        <w:t>6</w:t>
      </w:r>
      <w:r w:rsidR="00B063DC">
        <w:rPr>
          <w:rFonts w:ascii="Arial" w:hAnsi="Arial" w:cs="Arial"/>
          <w:b/>
          <w:sz w:val="24"/>
          <w:szCs w:val="24"/>
          <w:lang w:eastAsia="en-US"/>
        </w:rPr>
        <w:t>.</w:t>
      </w:r>
      <w:r w:rsidR="00B063DC">
        <w:rPr>
          <w:rFonts w:ascii="Arial" w:hAnsi="Arial" w:cs="Arial"/>
          <w:b/>
          <w:sz w:val="24"/>
          <w:szCs w:val="24"/>
          <w:lang w:eastAsia="en-US"/>
        </w:rPr>
        <w:tab/>
        <w:t xml:space="preserve">Finances </w:t>
      </w:r>
      <w:r w:rsidR="00B063DC" w:rsidRPr="00CF7A91">
        <w:rPr>
          <w:rFonts w:ascii="Arial" w:hAnsi="Arial" w:cs="Arial"/>
          <w:bCs/>
          <w:sz w:val="24"/>
          <w:szCs w:val="24"/>
          <w:lang w:eastAsia="en-US"/>
        </w:rPr>
        <w:t>– Reconciliation</w:t>
      </w:r>
      <w:r w:rsidR="00CF7A9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1B762D78" w14:textId="1FBB0D51" w:rsidR="00860945" w:rsidRDefault="00860945" w:rsidP="003F7A1B">
      <w:pPr>
        <w:spacing w:before="240"/>
        <w:rPr>
          <w:rFonts w:ascii="Arial" w:hAnsi="Arial" w:cs="Arial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1700"/>
        <w:gridCol w:w="1100"/>
        <w:gridCol w:w="1120"/>
        <w:gridCol w:w="296"/>
      </w:tblGrid>
      <w:tr w:rsidR="00860945" w14:paraId="7D06DFBE" w14:textId="77777777" w:rsidTr="00860945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B5DD7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800080"/>
              </w:rPr>
            </w:pPr>
            <w:r>
              <w:rPr>
                <w:rFonts w:eastAsia="Calibri" w:cs="Calibri"/>
                <w:color w:val="800080"/>
              </w:rPr>
              <w:t>Temple Guiting Parish Council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38DAC9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80008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D22406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60D36F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40348A6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6297FC78" w14:textId="77777777" w:rsidTr="00860945">
        <w:trPr>
          <w:trHeight w:val="40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27B41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800080"/>
              </w:rPr>
            </w:pPr>
            <w:r>
              <w:rPr>
                <w:rFonts w:eastAsia="Calibri" w:cs="Calibri"/>
                <w:color w:val="800080"/>
              </w:rPr>
              <w:t>Bank 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EF7479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80008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F81B9E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80008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EC4C0A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D1FD7A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9A10DB6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0B2DAD96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BBD835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065D66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DDF609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88A67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E68075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7EF6197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57F996D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</w:p>
        </w:tc>
      </w:tr>
      <w:tr w:rsidR="00860945" w14:paraId="67D40686" w14:textId="77777777" w:rsidTr="00860945">
        <w:trPr>
          <w:trHeight w:val="328"/>
        </w:trPr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915CD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Period 1 April 2020 to 25 November 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5475A3B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D5D481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EA2D50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7AD03687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2A2F07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FEF468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9710E8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146D29E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50ACA2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F8CF1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92E932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2EAFDB07" w14:textId="77777777" w:rsidTr="00860945">
        <w:trPr>
          <w:trHeight w:val="32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8C072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Current account 02503759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313FEB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11F8CFE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270D64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DD9FC4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638CD9FB" w14:textId="77777777" w:rsidTr="0086094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B726E0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4EF2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Balance at 25 November 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9AE1F8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£11,575.31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7FCFBE7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F588FA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28CEEEFA" w14:textId="77777777" w:rsidTr="00860945">
        <w:trPr>
          <w:trHeight w:val="356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4EDF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Savings account 07859616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BB84F6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8CBC19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BCFAD0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92CDAB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77633C92" w14:textId="77777777" w:rsidTr="0086094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B2C08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05DAC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Balance at 25 November 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751816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£5,265.24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CDE8D2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0D93216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60BD9F5D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517B14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8F92E4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A718E8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17562A7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F566E7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£16,840.55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1D7D3B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FE21E9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21573647" w14:textId="77777777" w:rsidTr="0086094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597985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B13A0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Less outstanding payments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8A5BAE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8FF6A8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£87.60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9A6DC1E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7298384E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9CA114B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806395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D3C42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41919C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1FEF30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BE70E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0FDC5C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620140EC" w14:textId="77777777" w:rsidTr="0086094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4B4F53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FC93F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Reconciled balance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97DCBE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A03107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29A7E2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£16,752.95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BE602A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860945" w14:paraId="65F14D3C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5247FA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442861B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1FA27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3A93F5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EF0EE9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BFCD5F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DAA364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6A36C044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2CD1E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37DACB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756BC1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79DA1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EB0EFE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4F1919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26B520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5E7F3222" w14:textId="77777777" w:rsidTr="00860945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AD5DC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Cashbook 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A7620C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0D5137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957AE0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BBB2BD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2C4AF2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7BBC23E4" w14:textId="77777777" w:rsidTr="00860945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319DE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Opening balance 1 April 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9D85A45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C0C0C4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£10,564.01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53F68A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C9E30A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2C86DCA8" w14:textId="77777777" w:rsidTr="00860945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E3C0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Add receipts to 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AF8307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E67CE1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F59732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£8,986.49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5A3D7F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9A00FB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0A95EE65" w14:textId="77777777" w:rsidTr="00860945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BED53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Less payments to date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9A502F3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A6F0E74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£2,797.57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18A3A6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EEE649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284C8E65" w14:textId="7777777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4E7492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7ED7488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B9C5910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811A03B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73CB852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F78072A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AB7CD51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</w:rPr>
            </w:pPr>
          </w:p>
        </w:tc>
      </w:tr>
      <w:tr w:rsidR="00860945" w14:paraId="48679017" w14:textId="77777777" w:rsidTr="0086094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BFF76BC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ACD0F" w14:textId="77777777" w:rsidR="00860945" w:rsidRDefault="00860945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Cashbook balance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B251D07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9D789D6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CCF869F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£16,752.93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06C5E39" w14:textId="77777777" w:rsidR="00860945" w:rsidRDefault="00860945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b/>
                <w:bCs/>
                <w:color w:val="000000"/>
              </w:rPr>
            </w:pPr>
          </w:p>
        </w:tc>
      </w:tr>
    </w:tbl>
    <w:p w14:paraId="65FAA328" w14:textId="5B52215A" w:rsidR="00860945" w:rsidRDefault="00860945" w:rsidP="003F7A1B">
      <w:pPr>
        <w:spacing w:before="240"/>
        <w:rPr>
          <w:rFonts w:ascii="Arial" w:hAnsi="Arial" w:cs="Arial"/>
          <w:bCs/>
          <w:sz w:val="24"/>
          <w:szCs w:val="24"/>
          <w:lang w:eastAsia="en-US"/>
        </w:rPr>
      </w:pPr>
    </w:p>
    <w:p w14:paraId="78D66224" w14:textId="77777777" w:rsidR="00860945" w:rsidRDefault="00860945" w:rsidP="003F7A1B">
      <w:pPr>
        <w:spacing w:before="240"/>
        <w:rPr>
          <w:rFonts w:ascii="Arial" w:hAnsi="Arial" w:cs="Arial"/>
          <w:bCs/>
          <w:sz w:val="24"/>
          <w:szCs w:val="24"/>
          <w:lang w:eastAsia="en-US"/>
        </w:rPr>
      </w:pPr>
    </w:p>
    <w:p w14:paraId="13A14A5E" w14:textId="77777777" w:rsidR="00E52522" w:rsidRPr="00CF7A91" w:rsidRDefault="00E52522" w:rsidP="003F7A1B">
      <w:pPr>
        <w:spacing w:before="240"/>
        <w:rPr>
          <w:rFonts w:ascii="Arial" w:hAnsi="Arial" w:cs="Arial"/>
          <w:bCs/>
          <w:sz w:val="24"/>
          <w:szCs w:val="24"/>
          <w:lang w:eastAsia="en-US"/>
        </w:rPr>
      </w:pPr>
    </w:p>
    <w:p w14:paraId="26A353B9" w14:textId="77777777" w:rsidR="001670A4" w:rsidRDefault="001670A4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62CFA451" w14:textId="77777777" w:rsidR="001670A4" w:rsidRDefault="001670A4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52DF9589" w14:textId="77777777" w:rsidR="00F06F6D" w:rsidRDefault="00823545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</w:t>
      </w:r>
      <w:r w:rsidR="00F773E4" w:rsidRPr="00065BE5">
        <w:rPr>
          <w:rFonts w:ascii="Arial" w:hAnsi="Arial" w:cs="Arial"/>
          <w:sz w:val="24"/>
          <w:szCs w:val="24"/>
          <w:lang w:eastAsia="en-US"/>
        </w:rPr>
        <w:t xml:space="preserve">igned: </w:t>
      </w:r>
    </w:p>
    <w:p w14:paraId="66788800" w14:textId="77777777" w:rsidR="00F773E4" w:rsidRDefault="00F06F6D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Clerk &amp; RFO </w:t>
      </w:r>
      <w:r w:rsidR="00F773E4" w:rsidRPr="00065BE5"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…………………………………………………………….</w:t>
      </w:r>
    </w:p>
    <w:p w14:paraId="39066308" w14:textId="77777777" w:rsidR="00F06F6D" w:rsidRDefault="00F06F6D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45120D7C" w14:textId="77777777" w:rsidR="00F06F6D" w:rsidRDefault="00F06F6D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Councillor ………………………………………………………………..</w:t>
      </w:r>
    </w:p>
    <w:p w14:paraId="609C373F" w14:textId="77777777" w:rsidR="001670A4" w:rsidRDefault="001670A4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6400469F" w14:textId="1BEBFD01" w:rsidR="00B063DC" w:rsidRDefault="00B063DC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 w:rsidRPr="001B7843">
        <w:rPr>
          <w:rFonts w:ascii="Arial" w:hAnsi="Arial" w:cs="Arial"/>
          <w:sz w:val="24"/>
          <w:szCs w:val="24"/>
          <w:highlight w:val="yellow"/>
          <w:lang w:eastAsia="en-US"/>
        </w:rPr>
        <w:t xml:space="preserve">Date:  </w:t>
      </w:r>
      <w:r w:rsidR="001B7843" w:rsidRPr="001B7843">
        <w:rPr>
          <w:rFonts w:ascii="Arial" w:hAnsi="Arial" w:cs="Arial"/>
          <w:sz w:val="24"/>
          <w:szCs w:val="24"/>
          <w:highlight w:val="yellow"/>
          <w:lang w:eastAsia="en-US"/>
        </w:rPr>
        <w:t>xx December</w:t>
      </w:r>
      <w:r w:rsidRPr="001B7843">
        <w:rPr>
          <w:rFonts w:ascii="Arial" w:hAnsi="Arial" w:cs="Arial"/>
          <w:sz w:val="24"/>
          <w:szCs w:val="24"/>
          <w:highlight w:val="yellow"/>
          <w:lang w:eastAsia="en-US"/>
        </w:rPr>
        <w:t xml:space="preserve"> 2020</w:t>
      </w:r>
    </w:p>
    <w:p w14:paraId="63F3D2F2" w14:textId="4CD2FF8D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  <w:r w:rsidR="0055684A" w:rsidRPr="0055684A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Other c</w:t>
      </w:r>
      <w:r w:rsidRPr="0055684A">
        <w:rPr>
          <w:rFonts w:ascii="Arial" w:hAnsi="Arial" w:cs="Arial"/>
          <w:b/>
          <w:bCs/>
          <w:sz w:val="24"/>
          <w:szCs w:val="24"/>
          <w:lang w:eastAsia="en-US"/>
        </w:rPr>
        <w:t>orrespondence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with residents/CDC/GCC/other PCs on the following topics –</w:t>
      </w:r>
    </w:p>
    <w:p w14:paraId="1BF06D3A" w14:textId="77777777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phone box at Ford</w:t>
      </w:r>
    </w:p>
    <w:p w14:paraId="719AFF57" w14:textId="21EFB7D7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traffic count data including 4 points for quarry traffic plus Upper Slaughter traffic</w:t>
      </w:r>
      <w:r w:rsidR="00642AF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5457F2">
        <w:rPr>
          <w:rFonts w:ascii="Arial" w:hAnsi="Arial" w:cs="Arial"/>
          <w:bCs/>
          <w:sz w:val="24"/>
          <w:szCs w:val="24"/>
          <w:lang w:eastAsia="en-US"/>
        </w:rPr>
        <w:t xml:space="preserve">      r</w:t>
      </w:r>
      <w:r w:rsidR="00642AFB">
        <w:rPr>
          <w:rFonts w:ascii="Arial" w:hAnsi="Arial" w:cs="Arial"/>
          <w:bCs/>
          <w:sz w:val="24"/>
          <w:szCs w:val="24"/>
          <w:lang w:eastAsia="en-US"/>
        </w:rPr>
        <w:t>eport</w:t>
      </w:r>
    </w:p>
    <w:p w14:paraId="6242B26D" w14:textId="495826F2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- report of damaged stone monument ‘Cromwell’s seat’ at Beckbury </w:t>
      </w:r>
      <w:r w:rsidR="0055684A">
        <w:rPr>
          <w:rFonts w:ascii="Arial" w:hAnsi="Arial" w:cs="Arial"/>
          <w:bCs/>
          <w:sz w:val="24"/>
          <w:szCs w:val="24"/>
          <w:lang w:eastAsia="en-US"/>
        </w:rPr>
        <w:t>C</w:t>
      </w:r>
      <w:r>
        <w:rPr>
          <w:rFonts w:ascii="Arial" w:hAnsi="Arial" w:cs="Arial"/>
          <w:bCs/>
          <w:sz w:val="24"/>
          <w:szCs w:val="24"/>
          <w:lang w:eastAsia="en-US"/>
        </w:rPr>
        <w:t>amp</w:t>
      </w:r>
    </w:p>
    <w:p w14:paraId="33C3E953" w14:textId="77777777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speeding vehicles on the road through Colmans</w:t>
      </w:r>
    </w:p>
    <w:p w14:paraId="7DDAD3F0" w14:textId="77777777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planning regulations</w:t>
      </w:r>
    </w:p>
    <w:p w14:paraId="4F01A6A2" w14:textId="666DC46C" w:rsidR="001B7843" w:rsidRDefault="001B7843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- new Conservative candidate for N.Cots to replace Nigel Moor.</w:t>
      </w:r>
    </w:p>
    <w:p w14:paraId="1C155FC5" w14:textId="7A929C7B" w:rsidR="003F7A1B" w:rsidRDefault="003F7A1B" w:rsidP="001B7843">
      <w:pPr>
        <w:spacing w:after="120"/>
        <w:ind w:hanging="567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- residents at No 1 The Sherry and Bromford Housing Association re overhanging trees. </w:t>
      </w:r>
    </w:p>
    <w:p w14:paraId="748B2091" w14:textId="77777777" w:rsidR="00B33716" w:rsidRDefault="00F103BB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bookmarkStart w:id="0" w:name="_MON_1667976129"/>
    <w:bookmarkEnd w:id="0"/>
    <w:p w14:paraId="6AEC10F7" w14:textId="3844695B" w:rsidR="00942293" w:rsidRDefault="00B050D1" w:rsidP="00F773E4">
      <w:pPr>
        <w:spacing w:after="1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object w:dxaOrig="7995" w:dyaOrig="9111" w14:anchorId="4D115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457.95pt;height:521.75pt" o:ole="">
            <v:imagedata r:id="rId7" o:title=""/>
          </v:shape>
          <o:OLEObject Type="Embed" ProgID="Excel.Sheet.12" ShapeID="_x0000_i1136" DrawAspect="Content" ObjectID="_1667977023" r:id="rId8"/>
        </w:object>
      </w:r>
    </w:p>
    <w:sectPr w:rsidR="00942293" w:rsidSect="00820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89C7" w14:textId="77777777" w:rsidR="004B3CC4" w:rsidRDefault="004B3CC4" w:rsidP="00023EAC">
      <w:r>
        <w:separator/>
      </w:r>
    </w:p>
  </w:endnote>
  <w:endnote w:type="continuationSeparator" w:id="0">
    <w:p w14:paraId="3A45B3B8" w14:textId="77777777" w:rsidR="004B3CC4" w:rsidRDefault="004B3CC4" w:rsidP="00023EAC">
      <w:r>
        <w:continuationSeparator/>
      </w:r>
    </w:p>
  </w:endnote>
  <w:endnote w:type="continuationNotice" w:id="1">
    <w:p w14:paraId="39CD889F" w14:textId="77777777" w:rsidR="004B3CC4" w:rsidRDefault="004B3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5D48" w14:textId="77777777" w:rsidR="00937FA4" w:rsidRDefault="00937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7285" w14:textId="77777777" w:rsidR="0006568F" w:rsidRDefault="000656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DB7485">
      <w:rPr>
        <w:noProof/>
      </w:rPr>
      <w:t xml:space="preserve"> of </w:t>
    </w:r>
    <w:r w:rsidR="00DB7485">
      <w:rPr>
        <w:noProof/>
      </w:rPr>
      <w:fldChar w:fldCharType="begin"/>
    </w:r>
    <w:r w:rsidR="00DB7485">
      <w:rPr>
        <w:noProof/>
      </w:rPr>
      <w:instrText xml:space="preserve"> NUMPAGES   \* MERGEFORMAT </w:instrText>
    </w:r>
    <w:r w:rsidR="00DB7485">
      <w:rPr>
        <w:noProof/>
      </w:rPr>
      <w:fldChar w:fldCharType="separate"/>
    </w:r>
    <w:r w:rsidR="00DB7485">
      <w:rPr>
        <w:noProof/>
      </w:rPr>
      <w:t>1</w:t>
    </w:r>
    <w:r w:rsidR="00DB7485">
      <w:rPr>
        <w:noProof/>
      </w:rPr>
      <w:fldChar w:fldCharType="end"/>
    </w:r>
  </w:p>
  <w:p w14:paraId="37B02651" w14:textId="77777777" w:rsidR="00023EAC" w:rsidRDefault="00023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C919" w14:textId="77777777" w:rsidR="00937FA4" w:rsidRDefault="0093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BC04" w14:textId="77777777" w:rsidR="004B3CC4" w:rsidRDefault="004B3CC4" w:rsidP="00023EAC">
      <w:r>
        <w:separator/>
      </w:r>
    </w:p>
  </w:footnote>
  <w:footnote w:type="continuationSeparator" w:id="0">
    <w:p w14:paraId="42E69A75" w14:textId="77777777" w:rsidR="004B3CC4" w:rsidRDefault="004B3CC4" w:rsidP="00023EAC">
      <w:r>
        <w:continuationSeparator/>
      </w:r>
    </w:p>
  </w:footnote>
  <w:footnote w:type="continuationNotice" w:id="1">
    <w:p w14:paraId="223FFEDC" w14:textId="77777777" w:rsidR="004B3CC4" w:rsidRDefault="004B3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8178" w14:textId="77777777" w:rsidR="00937FA4" w:rsidRDefault="00937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F9FA" w14:textId="77777777" w:rsidR="00023EAC" w:rsidRPr="00023EAC" w:rsidRDefault="00023EAC" w:rsidP="00023EAC">
    <w:pPr>
      <w:ind w:right="283"/>
      <w:jc w:val="center"/>
      <w:rPr>
        <w:b/>
        <w:color w:val="7030A0"/>
        <w:szCs w:val="24"/>
        <w:u w:val="single"/>
      </w:rPr>
    </w:pPr>
    <w:r w:rsidRPr="00023EAC">
      <w:rPr>
        <w:b/>
        <w:color w:val="7030A0"/>
        <w:szCs w:val="24"/>
        <w:u w:val="single"/>
      </w:rPr>
      <w:t>TEMPLE GUITING PARISH COUNCIL</w:t>
    </w:r>
  </w:p>
  <w:p w14:paraId="281BC0B7" w14:textId="77777777" w:rsidR="00023EAC" w:rsidRDefault="00023EAC">
    <w:pPr>
      <w:pStyle w:val="Header"/>
    </w:pPr>
  </w:p>
  <w:p w14:paraId="4BBCFE9A" w14:textId="77777777" w:rsidR="00023EAC" w:rsidRDefault="00023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B311" w14:textId="77777777" w:rsidR="00937FA4" w:rsidRDefault="00937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C1B"/>
    <w:multiLevelType w:val="hybridMultilevel"/>
    <w:tmpl w:val="33E4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454"/>
    <w:multiLevelType w:val="hybridMultilevel"/>
    <w:tmpl w:val="316C4BD4"/>
    <w:lvl w:ilvl="0" w:tplc="45DEE1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5A6"/>
    <w:multiLevelType w:val="hybridMultilevel"/>
    <w:tmpl w:val="3F10B754"/>
    <w:lvl w:ilvl="0" w:tplc="F81A919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5BF"/>
    <w:multiLevelType w:val="hybridMultilevel"/>
    <w:tmpl w:val="DDD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0CAB"/>
    <w:multiLevelType w:val="hybridMultilevel"/>
    <w:tmpl w:val="7FD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53CD"/>
    <w:multiLevelType w:val="hybridMultilevel"/>
    <w:tmpl w:val="988492C4"/>
    <w:lvl w:ilvl="0" w:tplc="72F486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EC3"/>
    <w:multiLevelType w:val="hybridMultilevel"/>
    <w:tmpl w:val="EE7A5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757F"/>
    <w:multiLevelType w:val="hybridMultilevel"/>
    <w:tmpl w:val="A25E8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46BA"/>
    <w:multiLevelType w:val="hybridMultilevel"/>
    <w:tmpl w:val="0360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1F"/>
    <w:rsid w:val="000050E1"/>
    <w:rsid w:val="000164A2"/>
    <w:rsid w:val="00023EAC"/>
    <w:rsid w:val="00026304"/>
    <w:rsid w:val="00042883"/>
    <w:rsid w:val="00053C7D"/>
    <w:rsid w:val="00053D8E"/>
    <w:rsid w:val="000540C4"/>
    <w:rsid w:val="00060635"/>
    <w:rsid w:val="0006568F"/>
    <w:rsid w:val="00065BE5"/>
    <w:rsid w:val="000713EC"/>
    <w:rsid w:val="000720EF"/>
    <w:rsid w:val="00074764"/>
    <w:rsid w:val="00085BB4"/>
    <w:rsid w:val="000862C3"/>
    <w:rsid w:val="000950A3"/>
    <w:rsid w:val="000A493E"/>
    <w:rsid w:val="000A603B"/>
    <w:rsid w:val="000A74EC"/>
    <w:rsid w:val="000A7F64"/>
    <w:rsid w:val="000B7791"/>
    <w:rsid w:val="000C47A3"/>
    <w:rsid w:val="000D2D5D"/>
    <w:rsid w:val="000D4AAC"/>
    <w:rsid w:val="000E2D01"/>
    <w:rsid w:val="000E5518"/>
    <w:rsid w:val="000E6FDB"/>
    <w:rsid w:val="000E6FF5"/>
    <w:rsid w:val="000F0C8E"/>
    <w:rsid w:val="001013F0"/>
    <w:rsid w:val="00101671"/>
    <w:rsid w:val="0010681B"/>
    <w:rsid w:val="00113B03"/>
    <w:rsid w:val="00115641"/>
    <w:rsid w:val="00116623"/>
    <w:rsid w:val="00122322"/>
    <w:rsid w:val="00131F7F"/>
    <w:rsid w:val="00132231"/>
    <w:rsid w:val="001402BD"/>
    <w:rsid w:val="00147EBD"/>
    <w:rsid w:val="00166429"/>
    <w:rsid w:val="001670A4"/>
    <w:rsid w:val="00187C88"/>
    <w:rsid w:val="00190194"/>
    <w:rsid w:val="0019297F"/>
    <w:rsid w:val="00192AA8"/>
    <w:rsid w:val="001B2307"/>
    <w:rsid w:val="001B32C3"/>
    <w:rsid w:val="001B7843"/>
    <w:rsid w:val="001C2C89"/>
    <w:rsid w:val="001C4B9B"/>
    <w:rsid w:val="001C7C9F"/>
    <w:rsid w:val="001D12F0"/>
    <w:rsid w:val="001D1BC6"/>
    <w:rsid w:val="001D696F"/>
    <w:rsid w:val="001E525E"/>
    <w:rsid w:val="001E5869"/>
    <w:rsid w:val="001F1FC0"/>
    <w:rsid w:val="001F2228"/>
    <w:rsid w:val="001F5B94"/>
    <w:rsid w:val="00212A67"/>
    <w:rsid w:val="00215EF7"/>
    <w:rsid w:val="00226432"/>
    <w:rsid w:val="00256410"/>
    <w:rsid w:val="00257D25"/>
    <w:rsid w:val="002623FB"/>
    <w:rsid w:val="002642E7"/>
    <w:rsid w:val="00281729"/>
    <w:rsid w:val="00281B25"/>
    <w:rsid w:val="002824BE"/>
    <w:rsid w:val="002840F6"/>
    <w:rsid w:val="00292849"/>
    <w:rsid w:val="002A4418"/>
    <w:rsid w:val="002B11E2"/>
    <w:rsid w:val="002B2788"/>
    <w:rsid w:val="002C2E5E"/>
    <w:rsid w:val="002C71F1"/>
    <w:rsid w:val="002D4FCC"/>
    <w:rsid w:val="002F05DC"/>
    <w:rsid w:val="002F2A70"/>
    <w:rsid w:val="002F3DA1"/>
    <w:rsid w:val="002F624E"/>
    <w:rsid w:val="00301592"/>
    <w:rsid w:val="00301B39"/>
    <w:rsid w:val="00303E5D"/>
    <w:rsid w:val="00310282"/>
    <w:rsid w:val="00312593"/>
    <w:rsid w:val="0032315E"/>
    <w:rsid w:val="00323F1D"/>
    <w:rsid w:val="00336440"/>
    <w:rsid w:val="00337628"/>
    <w:rsid w:val="00342206"/>
    <w:rsid w:val="0034291E"/>
    <w:rsid w:val="00344EDC"/>
    <w:rsid w:val="00350620"/>
    <w:rsid w:val="003574D5"/>
    <w:rsid w:val="0036065F"/>
    <w:rsid w:val="00361927"/>
    <w:rsid w:val="0036792C"/>
    <w:rsid w:val="003732F0"/>
    <w:rsid w:val="00374E0A"/>
    <w:rsid w:val="0037652A"/>
    <w:rsid w:val="00376FA1"/>
    <w:rsid w:val="00380322"/>
    <w:rsid w:val="00380BBC"/>
    <w:rsid w:val="00380F3D"/>
    <w:rsid w:val="00382CBD"/>
    <w:rsid w:val="00383BD8"/>
    <w:rsid w:val="00393B87"/>
    <w:rsid w:val="003A59A7"/>
    <w:rsid w:val="003B1ECA"/>
    <w:rsid w:val="003B418D"/>
    <w:rsid w:val="003D2921"/>
    <w:rsid w:val="003D799E"/>
    <w:rsid w:val="003E1B45"/>
    <w:rsid w:val="003F2437"/>
    <w:rsid w:val="003F47A7"/>
    <w:rsid w:val="003F6FC0"/>
    <w:rsid w:val="003F7A1B"/>
    <w:rsid w:val="0040651F"/>
    <w:rsid w:val="00406C7A"/>
    <w:rsid w:val="00410DFB"/>
    <w:rsid w:val="00416A52"/>
    <w:rsid w:val="00417D49"/>
    <w:rsid w:val="0042033A"/>
    <w:rsid w:val="00425593"/>
    <w:rsid w:val="00425EBE"/>
    <w:rsid w:val="00431124"/>
    <w:rsid w:val="00433B20"/>
    <w:rsid w:val="004379B2"/>
    <w:rsid w:val="00441BB8"/>
    <w:rsid w:val="00446E60"/>
    <w:rsid w:val="00446FD4"/>
    <w:rsid w:val="00455469"/>
    <w:rsid w:val="004609AE"/>
    <w:rsid w:val="00460A49"/>
    <w:rsid w:val="0046489C"/>
    <w:rsid w:val="00472429"/>
    <w:rsid w:val="004829C4"/>
    <w:rsid w:val="00485854"/>
    <w:rsid w:val="00487DE3"/>
    <w:rsid w:val="004916DC"/>
    <w:rsid w:val="0049735D"/>
    <w:rsid w:val="004A2FE8"/>
    <w:rsid w:val="004B138F"/>
    <w:rsid w:val="004B215A"/>
    <w:rsid w:val="004B251E"/>
    <w:rsid w:val="004B3CC4"/>
    <w:rsid w:val="004B7A53"/>
    <w:rsid w:val="004C251B"/>
    <w:rsid w:val="004C674F"/>
    <w:rsid w:val="004D195D"/>
    <w:rsid w:val="004F5495"/>
    <w:rsid w:val="00501882"/>
    <w:rsid w:val="00502F89"/>
    <w:rsid w:val="005049F4"/>
    <w:rsid w:val="005055CD"/>
    <w:rsid w:val="005106D1"/>
    <w:rsid w:val="0051336E"/>
    <w:rsid w:val="00522AB4"/>
    <w:rsid w:val="0052571D"/>
    <w:rsid w:val="005260E6"/>
    <w:rsid w:val="00531D26"/>
    <w:rsid w:val="00535259"/>
    <w:rsid w:val="00543F74"/>
    <w:rsid w:val="005457F2"/>
    <w:rsid w:val="00553C12"/>
    <w:rsid w:val="0055684A"/>
    <w:rsid w:val="00564680"/>
    <w:rsid w:val="00566C80"/>
    <w:rsid w:val="0057588C"/>
    <w:rsid w:val="005917E5"/>
    <w:rsid w:val="005945F9"/>
    <w:rsid w:val="00595B7C"/>
    <w:rsid w:val="005B28EF"/>
    <w:rsid w:val="005B7670"/>
    <w:rsid w:val="005D1EA6"/>
    <w:rsid w:val="005D54BA"/>
    <w:rsid w:val="005D67B0"/>
    <w:rsid w:val="005F72B2"/>
    <w:rsid w:val="00600DBA"/>
    <w:rsid w:val="006010D2"/>
    <w:rsid w:val="00610E60"/>
    <w:rsid w:val="00610F64"/>
    <w:rsid w:val="00613BE6"/>
    <w:rsid w:val="006148DE"/>
    <w:rsid w:val="006163DC"/>
    <w:rsid w:val="00617ECF"/>
    <w:rsid w:val="00620594"/>
    <w:rsid w:val="00620F5D"/>
    <w:rsid w:val="0062224A"/>
    <w:rsid w:val="00625A52"/>
    <w:rsid w:val="00630DCD"/>
    <w:rsid w:val="006323A8"/>
    <w:rsid w:val="00642AFB"/>
    <w:rsid w:val="00650842"/>
    <w:rsid w:val="00652BE7"/>
    <w:rsid w:val="00657CA5"/>
    <w:rsid w:val="00663E83"/>
    <w:rsid w:val="00664A36"/>
    <w:rsid w:val="00665039"/>
    <w:rsid w:val="00675289"/>
    <w:rsid w:val="00683E6A"/>
    <w:rsid w:val="0069035C"/>
    <w:rsid w:val="00690E0B"/>
    <w:rsid w:val="00695C25"/>
    <w:rsid w:val="006A0BC8"/>
    <w:rsid w:val="006B68AD"/>
    <w:rsid w:val="006D355C"/>
    <w:rsid w:val="006D6B72"/>
    <w:rsid w:val="006E2F7D"/>
    <w:rsid w:val="006F5CA6"/>
    <w:rsid w:val="007041A5"/>
    <w:rsid w:val="00714710"/>
    <w:rsid w:val="007231B6"/>
    <w:rsid w:val="007318A6"/>
    <w:rsid w:val="00731F82"/>
    <w:rsid w:val="00736FAD"/>
    <w:rsid w:val="007451A1"/>
    <w:rsid w:val="007519F6"/>
    <w:rsid w:val="00752D2C"/>
    <w:rsid w:val="007551C2"/>
    <w:rsid w:val="00770453"/>
    <w:rsid w:val="007825C0"/>
    <w:rsid w:val="007953B8"/>
    <w:rsid w:val="00795F85"/>
    <w:rsid w:val="007A4AD1"/>
    <w:rsid w:val="007A6208"/>
    <w:rsid w:val="007B26E4"/>
    <w:rsid w:val="007C3A08"/>
    <w:rsid w:val="007C4A76"/>
    <w:rsid w:val="007D153A"/>
    <w:rsid w:val="007D73C5"/>
    <w:rsid w:val="007E089B"/>
    <w:rsid w:val="007E7241"/>
    <w:rsid w:val="007F1588"/>
    <w:rsid w:val="00816372"/>
    <w:rsid w:val="0082026A"/>
    <w:rsid w:val="00822CE5"/>
    <w:rsid w:val="00823545"/>
    <w:rsid w:val="00835607"/>
    <w:rsid w:val="008442B2"/>
    <w:rsid w:val="008502D6"/>
    <w:rsid w:val="00851CAB"/>
    <w:rsid w:val="00860911"/>
    <w:rsid w:val="00860945"/>
    <w:rsid w:val="00860C97"/>
    <w:rsid w:val="008657FD"/>
    <w:rsid w:val="0087147D"/>
    <w:rsid w:val="008771B2"/>
    <w:rsid w:val="00877F9F"/>
    <w:rsid w:val="0088701A"/>
    <w:rsid w:val="008A17E8"/>
    <w:rsid w:val="008A1B8A"/>
    <w:rsid w:val="008A30ED"/>
    <w:rsid w:val="008A7CC7"/>
    <w:rsid w:val="008B7B75"/>
    <w:rsid w:val="008C3AB0"/>
    <w:rsid w:val="008D2339"/>
    <w:rsid w:val="008D414E"/>
    <w:rsid w:val="008D480D"/>
    <w:rsid w:val="008E4C9C"/>
    <w:rsid w:val="008E704E"/>
    <w:rsid w:val="008E7E26"/>
    <w:rsid w:val="008F4EA8"/>
    <w:rsid w:val="00904445"/>
    <w:rsid w:val="00906096"/>
    <w:rsid w:val="009077D0"/>
    <w:rsid w:val="009146CC"/>
    <w:rsid w:val="00915F09"/>
    <w:rsid w:val="0091633A"/>
    <w:rsid w:val="009214CF"/>
    <w:rsid w:val="0093381B"/>
    <w:rsid w:val="0093495E"/>
    <w:rsid w:val="00937FA4"/>
    <w:rsid w:val="00942293"/>
    <w:rsid w:val="00951264"/>
    <w:rsid w:val="00953967"/>
    <w:rsid w:val="00960E61"/>
    <w:rsid w:val="009633A9"/>
    <w:rsid w:val="009637AA"/>
    <w:rsid w:val="00966DC2"/>
    <w:rsid w:val="00967D9D"/>
    <w:rsid w:val="00975AD8"/>
    <w:rsid w:val="00984327"/>
    <w:rsid w:val="009935B1"/>
    <w:rsid w:val="009A03F6"/>
    <w:rsid w:val="009A2471"/>
    <w:rsid w:val="009B1B3C"/>
    <w:rsid w:val="009B28D9"/>
    <w:rsid w:val="009B5E0F"/>
    <w:rsid w:val="009C5948"/>
    <w:rsid w:val="009C5F6E"/>
    <w:rsid w:val="009D327E"/>
    <w:rsid w:val="009D445F"/>
    <w:rsid w:val="009E3199"/>
    <w:rsid w:val="009E766B"/>
    <w:rsid w:val="009F1BFA"/>
    <w:rsid w:val="009F4FE0"/>
    <w:rsid w:val="00A044BE"/>
    <w:rsid w:val="00A053D7"/>
    <w:rsid w:val="00A057BD"/>
    <w:rsid w:val="00A103A6"/>
    <w:rsid w:val="00A118D4"/>
    <w:rsid w:val="00A170DC"/>
    <w:rsid w:val="00A17A6E"/>
    <w:rsid w:val="00A2089E"/>
    <w:rsid w:val="00A377C1"/>
    <w:rsid w:val="00A407E5"/>
    <w:rsid w:val="00A40927"/>
    <w:rsid w:val="00A41A28"/>
    <w:rsid w:val="00A4371D"/>
    <w:rsid w:val="00A442B8"/>
    <w:rsid w:val="00A45B54"/>
    <w:rsid w:val="00A478FE"/>
    <w:rsid w:val="00A553F1"/>
    <w:rsid w:val="00A56E02"/>
    <w:rsid w:val="00A603CB"/>
    <w:rsid w:val="00A65357"/>
    <w:rsid w:val="00A70192"/>
    <w:rsid w:val="00A81F2F"/>
    <w:rsid w:val="00A84046"/>
    <w:rsid w:val="00AA0E79"/>
    <w:rsid w:val="00AA1136"/>
    <w:rsid w:val="00AA6505"/>
    <w:rsid w:val="00AB11F7"/>
    <w:rsid w:val="00AC0CC9"/>
    <w:rsid w:val="00AC5FDD"/>
    <w:rsid w:val="00AD04C2"/>
    <w:rsid w:val="00AD6059"/>
    <w:rsid w:val="00AE35B3"/>
    <w:rsid w:val="00AF5AE1"/>
    <w:rsid w:val="00B02162"/>
    <w:rsid w:val="00B050D1"/>
    <w:rsid w:val="00B05AA0"/>
    <w:rsid w:val="00B063DC"/>
    <w:rsid w:val="00B132B5"/>
    <w:rsid w:val="00B161D7"/>
    <w:rsid w:val="00B21ADB"/>
    <w:rsid w:val="00B26FFB"/>
    <w:rsid w:val="00B31766"/>
    <w:rsid w:val="00B324F4"/>
    <w:rsid w:val="00B33716"/>
    <w:rsid w:val="00B41AE6"/>
    <w:rsid w:val="00B4420F"/>
    <w:rsid w:val="00B50C6A"/>
    <w:rsid w:val="00B5120A"/>
    <w:rsid w:val="00B52657"/>
    <w:rsid w:val="00B53543"/>
    <w:rsid w:val="00B53AA2"/>
    <w:rsid w:val="00B5677D"/>
    <w:rsid w:val="00B62B02"/>
    <w:rsid w:val="00B72974"/>
    <w:rsid w:val="00B82357"/>
    <w:rsid w:val="00B8589D"/>
    <w:rsid w:val="00BB659E"/>
    <w:rsid w:val="00BC55E4"/>
    <w:rsid w:val="00BD237E"/>
    <w:rsid w:val="00BD3A47"/>
    <w:rsid w:val="00BD3F4D"/>
    <w:rsid w:val="00BF540A"/>
    <w:rsid w:val="00C056B8"/>
    <w:rsid w:val="00C17E4A"/>
    <w:rsid w:val="00C21D2D"/>
    <w:rsid w:val="00C2223A"/>
    <w:rsid w:val="00C22BA0"/>
    <w:rsid w:val="00C27BB2"/>
    <w:rsid w:val="00C44FD6"/>
    <w:rsid w:val="00C47CCE"/>
    <w:rsid w:val="00C52F7E"/>
    <w:rsid w:val="00C57401"/>
    <w:rsid w:val="00C7513E"/>
    <w:rsid w:val="00C81CCF"/>
    <w:rsid w:val="00C860B2"/>
    <w:rsid w:val="00C92C75"/>
    <w:rsid w:val="00CA5A75"/>
    <w:rsid w:val="00CB35D4"/>
    <w:rsid w:val="00CC76D8"/>
    <w:rsid w:val="00CD3BE9"/>
    <w:rsid w:val="00CD5541"/>
    <w:rsid w:val="00CD6709"/>
    <w:rsid w:val="00CE259B"/>
    <w:rsid w:val="00CE72B4"/>
    <w:rsid w:val="00CF0CCD"/>
    <w:rsid w:val="00CF3D42"/>
    <w:rsid w:val="00CF7A91"/>
    <w:rsid w:val="00D030F1"/>
    <w:rsid w:val="00D035B9"/>
    <w:rsid w:val="00D072E8"/>
    <w:rsid w:val="00D12B1D"/>
    <w:rsid w:val="00D17267"/>
    <w:rsid w:val="00D20066"/>
    <w:rsid w:val="00D23DF6"/>
    <w:rsid w:val="00D30132"/>
    <w:rsid w:val="00D33B38"/>
    <w:rsid w:val="00D3495F"/>
    <w:rsid w:val="00D42714"/>
    <w:rsid w:val="00D44253"/>
    <w:rsid w:val="00D62278"/>
    <w:rsid w:val="00D6249E"/>
    <w:rsid w:val="00D6298B"/>
    <w:rsid w:val="00D941C3"/>
    <w:rsid w:val="00DA0388"/>
    <w:rsid w:val="00DA0879"/>
    <w:rsid w:val="00DA2247"/>
    <w:rsid w:val="00DA5297"/>
    <w:rsid w:val="00DB7485"/>
    <w:rsid w:val="00DC07A6"/>
    <w:rsid w:val="00DD058A"/>
    <w:rsid w:val="00DE1E9E"/>
    <w:rsid w:val="00DE6037"/>
    <w:rsid w:val="00DF036A"/>
    <w:rsid w:val="00E06A3C"/>
    <w:rsid w:val="00E10F5D"/>
    <w:rsid w:val="00E14BC6"/>
    <w:rsid w:val="00E161AB"/>
    <w:rsid w:val="00E30916"/>
    <w:rsid w:val="00E31846"/>
    <w:rsid w:val="00E36158"/>
    <w:rsid w:val="00E41DBF"/>
    <w:rsid w:val="00E52522"/>
    <w:rsid w:val="00E7085C"/>
    <w:rsid w:val="00E732D2"/>
    <w:rsid w:val="00E804DC"/>
    <w:rsid w:val="00E8691F"/>
    <w:rsid w:val="00EA2C64"/>
    <w:rsid w:val="00EA797B"/>
    <w:rsid w:val="00EB2125"/>
    <w:rsid w:val="00EB30A4"/>
    <w:rsid w:val="00EB403A"/>
    <w:rsid w:val="00EB5AF3"/>
    <w:rsid w:val="00EC34F0"/>
    <w:rsid w:val="00EC380D"/>
    <w:rsid w:val="00ED492E"/>
    <w:rsid w:val="00EE71D9"/>
    <w:rsid w:val="00EE71E8"/>
    <w:rsid w:val="00EF0E84"/>
    <w:rsid w:val="00EF0F3A"/>
    <w:rsid w:val="00EF61F4"/>
    <w:rsid w:val="00F014BE"/>
    <w:rsid w:val="00F06F6D"/>
    <w:rsid w:val="00F103BB"/>
    <w:rsid w:val="00F10B17"/>
    <w:rsid w:val="00F157D7"/>
    <w:rsid w:val="00F20BD1"/>
    <w:rsid w:val="00F22426"/>
    <w:rsid w:val="00F3176E"/>
    <w:rsid w:val="00F3428C"/>
    <w:rsid w:val="00F525CD"/>
    <w:rsid w:val="00F529C9"/>
    <w:rsid w:val="00F537FC"/>
    <w:rsid w:val="00F540D4"/>
    <w:rsid w:val="00F626D2"/>
    <w:rsid w:val="00F66C6F"/>
    <w:rsid w:val="00F770AE"/>
    <w:rsid w:val="00F773E4"/>
    <w:rsid w:val="00F776A1"/>
    <w:rsid w:val="00F80EC2"/>
    <w:rsid w:val="00F9175A"/>
    <w:rsid w:val="00FA018F"/>
    <w:rsid w:val="00FA165F"/>
    <w:rsid w:val="00FA5993"/>
    <w:rsid w:val="00FA6BCA"/>
    <w:rsid w:val="00FB449C"/>
    <w:rsid w:val="00FC0F55"/>
    <w:rsid w:val="00FD47B1"/>
    <w:rsid w:val="00FD6C2A"/>
    <w:rsid w:val="00FE02A2"/>
    <w:rsid w:val="00FE7906"/>
    <w:rsid w:val="00FE7AA3"/>
    <w:rsid w:val="00FF4D9C"/>
    <w:rsid w:val="00FF5A85"/>
    <w:rsid w:val="00FF6073"/>
    <w:rsid w:val="5A5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4CEC"/>
  <w15:chartTrackingRefBased/>
  <w15:docId w15:val="{DD475D3A-BC48-4E98-AADE-6BBD91B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E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AC"/>
  </w:style>
  <w:style w:type="paragraph" w:styleId="Footer">
    <w:name w:val="footer"/>
    <w:basedOn w:val="Normal"/>
    <w:link w:val="Foot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AC"/>
  </w:style>
  <w:style w:type="paragraph" w:styleId="ListParagraph">
    <w:name w:val="List Paragraph"/>
    <w:basedOn w:val="Normal"/>
    <w:uiPriority w:val="34"/>
    <w:qFormat/>
    <w:rsid w:val="00714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B7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rsid w:val="00EF61F4"/>
    <w:rPr>
      <w:u w:val="single"/>
    </w:rPr>
  </w:style>
  <w:style w:type="paragraph" w:customStyle="1" w:styleId="Body">
    <w:name w:val="Body"/>
    <w:rsid w:val="00EF6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EF6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4B9B"/>
    <w:rPr>
      <w:color w:val="605E5C"/>
      <w:shd w:val="clear" w:color="auto" w:fill="E1DFDD"/>
    </w:rPr>
  </w:style>
  <w:style w:type="paragraph" w:customStyle="1" w:styleId="yiv1213045286ydp81b0388cyiv5729158960msonormal">
    <w:name w:val="yiv1213045286ydp81b0388cyiv5729158960msonormal"/>
    <w:basedOn w:val="Normal"/>
    <w:rsid w:val="00FA59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12" baseType="variant"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https://www.roadside-technologies.co.uk/community-speed-watch-groups/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https://www.twmtraffic.com/signs/captis-equipment/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 Freeman</cp:lastModifiedBy>
  <cp:revision>27</cp:revision>
  <cp:lastPrinted>2020-07-24T07:39:00Z</cp:lastPrinted>
  <dcterms:created xsi:type="dcterms:W3CDTF">2020-11-25T19:04:00Z</dcterms:created>
  <dcterms:modified xsi:type="dcterms:W3CDTF">2020-11-27T10:10:00Z</dcterms:modified>
</cp:coreProperties>
</file>